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centralizado"/>
        <w:spacing w:beforeAutospacing="0" w:before="120" w:afterAutospacing="0" w:after="120"/>
        <w:ind w:left="120" w:right="120" w:hanging="0"/>
        <w:jc w:val="center"/>
        <w:rPr/>
      </w:pPr>
      <w:r>
        <w:rPr>
          <w:rStyle w:val="Strong"/>
          <w:rFonts w:cs="Calibri" w:ascii="Calibri" w:hAnsi="Calibri" w:asciiTheme="minorHAnsi" w:hAnsiTheme="minorHAnsi"/>
          <w:color w:val="000000"/>
        </w:rPr>
        <w:t xml:space="preserve">EDITAL DE CHAMAMENTO PÚBLICO Nº </w:t>
      </w:r>
      <w:r>
        <w:rPr>
          <w:rStyle w:val="Strong"/>
          <w:rFonts w:cs="Calibri" w:ascii="Calibri" w:hAnsi="Calibri" w:asciiTheme="minorHAnsi" w:hAnsiTheme="minorHAnsi"/>
          <w:color w:val="000000"/>
        </w:rPr>
        <w:t>001</w:t>
      </w:r>
      <w:r>
        <w:rPr>
          <w:rStyle w:val="Strong"/>
          <w:rFonts w:cs="Calibri" w:ascii="Calibri" w:hAnsi="Calibri" w:asciiTheme="minorHAnsi" w:hAnsiTheme="minorHAnsi"/>
          <w:color w:val="000000"/>
        </w:rPr>
        <w:t>/2023</w:t>
      </w:r>
    </w:p>
    <w:p>
      <w:pPr>
        <w:pStyle w:val="Textocentralizado"/>
        <w:spacing w:beforeAutospacing="0" w:before="120" w:afterAutospacing="0" w:after="120"/>
        <w:ind w:left="120" w:right="120" w:hanging="0"/>
        <w:jc w:val="center"/>
        <w:rPr>
          <w:rStyle w:val="Strong"/>
          <w:rFonts w:ascii="Calibri" w:hAnsi="Calibri" w:cs="Calibri" w:asciiTheme="minorHAnsi" w:hAnsiTheme="minorHAnsi"/>
          <w:color w:val="000000"/>
        </w:rPr>
      </w:pPr>
      <w:r>
        <w:rPr>
          <w:rStyle w:val="Strong"/>
          <w:rFonts w:cs="Calibri" w:ascii="Calibri" w:hAnsi="Calibri" w:asciiTheme="minorHAnsi" w:hAnsiTheme="minorHAnsi"/>
          <w:color w:val="000000"/>
        </w:rPr>
        <w:t>AUDIOVISUAL</w:t>
      </w:r>
    </w:p>
    <w:p>
      <w:pPr>
        <w:pStyle w:val="Textocentralizado"/>
        <w:spacing w:beforeAutospacing="0" w:before="120" w:afterAutospacing="0" w:after="120"/>
        <w:ind w:left="120" w:right="120" w:hanging="0"/>
        <w:jc w:val="center"/>
        <w:rPr>
          <w:rFonts w:ascii="Calibri" w:hAnsi="Calibri" w:cs="Calibri" w:asciiTheme="minorHAnsi" w:hAnsiTheme="minorHAnsi"/>
          <w:color w:val="000000"/>
        </w:rPr>
      </w:pPr>
      <w:r>
        <w:rPr>
          <w:rFonts w:cs="Calibri" w:ascii="Calibri" w:hAnsi="Calibri"/>
          <w:color w:val="000000"/>
        </w:rPr>
      </w:r>
    </w:p>
    <w:p>
      <w:pPr>
        <w:pStyle w:val="Textocentralizado"/>
        <w:spacing w:beforeAutospacing="0" w:before="120" w:afterAutospacing="0" w:after="120"/>
        <w:ind w:left="120" w:right="120" w:hanging="0"/>
        <w:jc w:val="center"/>
        <w:rPr>
          <w:rFonts w:ascii="Calibri" w:hAnsi="Calibri" w:cs="Calibri" w:asciiTheme="minorHAnsi" w:hAnsiTheme="minorHAnsi"/>
          <w:color w:val="000000"/>
        </w:rPr>
      </w:pPr>
      <w:r>
        <w:rPr>
          <w:rStyle w:val="Strong"/>
          <w:rFonts w:cs="Calibri" w:ascii="Calibri" w:hAnsi="Calibri" w:asciiTheme="minorHAnsi" w:hAnsiTheme="minorHAnsi"/>
          <w:color w:val="000000"/>
        </w:rPr>
        <w:t>EDITAL DE SELEÇÃO DE PROJETOS PARA FIRMAR TERMO DE EXECUÇÃO CULTURAL COM RECURSOS DA LEI COMPLEMENTAR Nº 195/2022 (LEI PAULO GUSTAVO) – AUDIOVISUAL</w:t>
      </w:r>
    </w:p>
    <w:p>
      <w:pPr>
        <w:pStyle w:val="Textocentralizado"/>
        <w:spacing w:beforeAutospacing="0" w:before="120" w:afterAutospacing="0" w:after="120"/>
        <w:ind w:left="120" w:right="120" w:hanging="0"/>
        <w:jc w:val="center"/>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Este edital é realizado com recursos do Governo Federal repassados por meio da Lei Complementar nº 195/2022 - Lei Paulo Gustavo.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A Lei Paulo Gustavo viabiliza o maior investimento direto no setor cultural da história do Brasil e simboliza o processo de resistência da classe artística durante a pandemia de Covid-19, que limitou severamente as atividades do setor cultural.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É, ainda, uma homenagem a Paulo Gustavo, artista símbolo da categoria, vitimado pela doença.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As condições para a execução da Lei Paulo Gustavo foram criadas por meio do engajamento da sociedade e o presente edital destina-se a apoiar projetos apresentados pelos agentes culturais do Município de Pereira Barreto e demais municípios.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Deste modo, a Secretaria de Turismo e Cultura da Prefeitura Municipal de Pereira Barreto, torna público o presente edital elaborado com base na Lei Complementar 195/2022, no Decreto 11.525/2023 e no Decreto 11.453/2023.</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 </w:t>
      </w:r>
    </w:p>
    <w:p>
      <w:pPr>
        <w:pStyle w:val="Textojustificado"/>
        <w:spacing w:beforeAutospacing="0" w:before="120" w:afterAutospacing="0" w:after="120"/>
        <w:ind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 OBJETO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1.1 O objeto deste edital é a seleção de projetos culturais das </w:t>
      </w:r>
      <w:r>
        <w:rPr>
          <w:rFonts w:cs="Calibri" w:ascii="Calibri" w:hAnsi="Calibri" w:asciiTheme="minorHAnsi" w:hAnsiTheme="minorHAnsi"/>
          <w:b/>
          <w:color w:val="000000"/>
        </w:rPr>
        <w:t>DEMAIS ÁREAS CULTURAIS</w:t>
      </w:r>
      <w:r>
        <w:rPr>
          <w:rFonts w:cs="Calibri" w:ascii="Calibri" w:hAnsi="Calibri" w:asciiTheme="minorHAnsi" w:hAnsiTheme="minorHAnsi"/>
          <w:color w:val="000000"/>
        </w:rPr>
        <w:t xml:space="preserve"> para receberem apoio financeiro nas categorias descritas no </w:t>
      </w:r>
      <w:r>
        <w:rPr>
          <w:rFonts w:cs="Calibri" w:ascii="Calibri" w:hAnsi="Calibri" w:asciiTheme="minorHAnsi" w:hAnsiTheme="minorHAnsi"/>
          <w:b/>
          <w:color w:val="000000"/>
        </w:rPr>
        <w:t>Anexo I</w:t>
      </w:r>
      <w:r>
        <w:rPr>
          <w:rFonts w:cs="Calibri" w:ascii="Calibri" w:hAnsi="Calibri" w:asciiTheme="minorHAnsi" w:hAnsiTheme="minorHAnsi"/>
          <w:color w:val="000000"/>
        </w:rPr>
        <w:t>, por meio da celebração de Termo de Execução Cultural, com o objetivo de incentivar as diversas formas de manifestações culturais do Município de Pereira Barreto.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r>
        <w:rPr>
          <w:rFonts w:cs="Calibri" w:ascii="Calibri" w:hAnsi="Calibri" w:asciiTheme="minorHAnsi" w:hAnsiTheme="minorHAnsi"/>
          <w:color w:val="000000"/>
        </w:rPr>
        <w:t>163907,19</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2. VALORES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2.1 O valor total disponibilizado para este edital é de </w:t>
      </w:r>
      <w:r>
        <w:rPr>
          <w:rFonts w:cs="Calibri" w:ascii="Calibri" w:hAnsi="Calibri" w:asciiTheme="minorHAnsi" w:hAnsiTheme="minorHAnsi"/>
        </w:rPr>
        <w:t xml:space="preserve">R$ 163.907,19 (Cento e sessenta e três mil, novecentos e sete reais e dezenove centavos), </w:t>
      </w:r>
      <w:r>
        <w:rPr>
          <w:rFonts w:cs="Calibri" w:ascii="Calibri" w:hAnsi="Calibri" w:asciiTheme="minorHAnsi" w:hAnsiTheme="minorHAnsi"/>
          <w:color w:val="000000"/>
        </w:rPr>
        <w:t xml:space="preserve">divididos entre as categorias de apoio descritas no </w:t>
      </w:r>
      <w:r>
        <w:rPr>
          <w:rFonts w:cs="Calibri" w:ascii="Calibri" w:hAnsi="Calibri" w:asciiTheme="minorHAnsi" w:hAnsiTheme="minorHAnsi"/>
          <w:b/>
          <w:color w:val="000000"/>
        </w:rPr>
        <w:t>Anexo I</w:t>
      </w:r>
      <w:r>
        <w:rPr>
          <w:rFonts w:cs="Calibri" w:ascii="Calibri" w:hAnsi="Calibri" w:asciiTheme="minorHAnsi" w:hAnsiTheme="minorHAnsi"/>
          <w:color w:val="000000"/>
        </w:rPr>
        <w:t xml:space="preserve"> deste edital. </w:t>
      </w:r>
    </w:p>
    <w:p>
      <w:pPr>
        <w:pStyle w:val="Normal"/>
        <w:spacing w:before="120" w:after="240"/>
        <w:ind w:left="120" w:hanging="0"/>
        <w:jc w:val="both"/>
        <w:rPr>
          <w:rFonts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t>2.2 A despesa correrá à conta de dotação orçamentária específica para a execução da Lei aprovada pela Câmara Municipal e sancionada pelo Prefeito Municipal.</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2.3 Poderá haver remanejamento tanto na quantidade dos projetos quanto nos valores, para mais ou para menos, dependendo da demanda das inscrições, ficando este remanejamento a carga do comitê gestor;</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2.4 Este edital poderá ser suplementado, caso haja interesse público e disponibilidade orçamentária suficiente.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3. QUEM PODE SE INSCREVER</w:t>
      </w:r>
    </w:p>
    <w:p>
      <w:pPr>
        <w:pStyle w:val="Textojustificado"/>
        <w:spacing w:beforeAutospacing="0" w:before="120" w:afterAutospacing="0" w:after="120"/>
        <w:ind w:left="120" w:right="120" w:hanging="0"/>
        <w:jc w:val="both"/>
        <w:rPr>
          <w:rFonts w:ascii="Calibri" w:hAnsi="Calibri" w:cs="Calibri" w:asciiTheme="minorHAnsi" w:hAnsiTheme="minorHAnsi"/>
          <w:color w:val="FF0000"/>
        </w:rPr>
      </w:pPr>
      <w:r>
        <w:rPr>
          <w:rFonts w:cs="Calibri" w:ascii="Calibri" w:hAnsi="Calibri" w:asciiTheme="minorHAnsi" w:hAnsiTheme="minorHAnsi"/>
          <w:color w:val="000000"/>
        </w:rPr>
        <w:t xml:space="preserve">3.1 Pode se inscrever no Edital qualquer agente cultural residente no Município de Pereira Barreto. </w:t>
      </w:r>
      <w:r>
        <w:rPr>
          <w:rFonts w:cs="Calibri" w:ascii="Calibri" w:hAnsi="Calibri" w:asciiTheme="minorHAnsi" w:cstheme="minorHAnsi" w:hAnsiTheme="minorHAnsi"/>
          <w:color w:val="000000"/>
        </w:rPr>
        <w:t>A comprovação de residência pode ser dispensada conforme item 13.1.2.</w:t>
      </w:r>
      <w:r>
        <w:rPr>
          <w:rFonts w:cs="Calibri" w:ascii="Calibri" w:hAnsi="Calibri" w:asciiTheme="minorHAnsi" w:cstheme="minorHAnsi" w:hAnsiTheme="minorHAnsi"/>
          <w:color w:val="FF0000"/>
        </w:rPr>
        <w:t xml:space="preserve">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3.2 Em regra, o agente cultural pode ser:</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Pessoa física ou Microempreendedor Individual (MEI)</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Pessoa jurídica com fins lucrativos (Ex.: empresa de pequeno porte, empresa de grande porte, etc)</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III - Pessoa jurídica sem fins lucrativos (Ex.: Associação, Fundação, Cooperativa, etc)</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IV - Coletivo/Grupo sem CNPJ representado por pessoa física.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3.3 O proponente é o agente cultural responsável pela inscrição do projeto.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w:t>
      </w:r>
      <w:r>
        <w:rPr>
          <w:rFonts w:cs="Calibri" w:ascii="Calibri" w:hAnsi="Calibri" w:asciiTheme="minorHAnsi" w:hAnsiTheme="minorHAnsi"/>
          <w:b/>
          <w:color w:val="000000"/>
        </w:rPr>
        <w:t>Anexo V</w:t>
      </w:r>
      <w:r>
        <w:rPr>
          <w:rFonts w:cs="Calibri" w:ascii="Calibri" w:hAnsi="Calibri" w:asciiTheme="minorHAnsi" w:hAnsiTheme="minorHAnsi"/>
          <w:color w:val="000000"/>
        </w:rPr>
        <w:t>.</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3.5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3.6 O </w:t>
      </w:r>
      <w:r>
        <w:rPr>
          <w:rFonts w:cs="Calibri" w:ascii="Calibri" w:hAnsi="Calibri" w:asciiTheme="minorHAnsi" w:hAnsiTheme="minorHAnsi"/>
          <w:b/>
          <w:color w:val="000000"/>
        </w:rPr>
        <w:t>Anexo I</w:t>
      </w:r>
      <w:r>
        <w:rPr>
          <w:rFonts w:cs="Calibri" w:ascii="Calibri" w:hAnsi="Calibri" w:asciiTheme="minorHAnsi" w:hAnsiTheme="minorHAnsi"/>
          <w:color w:val="000000"/>
        </w:rPr>
        <w:t xml:space="preserve"> deve ser consultado para fins de verificação das condições de participação de todos os proponentes.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4. QUEM NÃO PODE SE INSCREVER</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4.1 Não pode se inscrever neste Edital, proponentes que: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tenham se envolvido diretamente na etapa de elaboração do edital, na etapa de análise de propostas ou na etapa de julgamento de recursos;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III - sejam membros do Poder Legislativo (Deputados, Senadores, Vereadores), do Poder Judiciário (Juízes, Desembargadores, Ministros), do Ministério Público (Promotor, Procurador); do Tribunal de Contas (Auditores e Conselheiros).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4.2 O agente cultural que integrar Conselho de Cultura poderá concorrer neste Edital para receber recursos do fomento cultural, exceto quando se enquadrar nas vedações previstas no item 4.1.</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4.3 Quando se tratar de proponentes pessoas jurídicas, estarão impedidas de apresentar projetos aquelas cujos sócios, diretores e/ou administradores se enquadrarem nas situações descritas no tópico 4.1.</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4.4 A participação de agentes culturais nas oitivas e consultas públicas não caracteriza o envolvimento direto na etapa de elaboração do edital de que trata o subitem I do item 4.1.</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5. COTAS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5.1 Ficam garantidas cotas étnicas-raciais em todas as categorias do edital, nas seguintes proporções: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a) no mínimo 20% para pessoas negras (pretas e pardas); 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b) no mínimo 10% para pessoas indígenas.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5.4 Em caso de desistência de optantes aprovados nas cotas, a vaga não preenchida deverá ser ocupada por pessoa que concorreu às cotas de acordo com a ordem de classificação.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5.5 No caso de não existirem propostas aptas em número suficiente para o cumprimento de uma das categorias de cotas previstas na seleção, o número de vagas restantes deverá ser destinado inicialmente para a outra categoria de cotas.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5.6 Caso não haja outra categoria de cotas de que trata o item 5.6 , as vagas não preenchidas deverão ser direcionadas para a ampla concorrência, sendo direcionadas para os demais candidatos aprovados, de acordo com a ordem de classificação.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5.7 Para concorrer às cotas, os agentes culturais deverão autodeclarar-se no ato da inscrição usando a autodeclaração étnico-racial de que trata o </w:t>
      </w:r>
      <w:r>
        <w:rPr>
          <w:rFonts w:cs="Calibri" w:ascii="Calibri" w:hAnsi="Calibri" w:asciiTheme="minorHAnsi" w:hAnsiTheme="minorHAnsi"/>
          <w:b/>
          <w:color w:val="000000"/>
        </w:rPr>
        <w:t>Anexo VI</w:t>
      </w:r>
      <w:r>
        <w:rPr>
          <w:rFonts w:cs="Calibri" w:ascii="Calibri" w:hAnsi="Calibri" w:asciiTheme="minorHAnsi" w:hAnsiTheme="minorHAnsi"/>
          <w:color w:val="000000"/>
        </w:rPr>
        <w:t>.</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5.8 Para fins de verificação da autodeclaração, serão realizados os seguintes procedimentos complementares:</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I - procedimento de heteroidentificação;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5.9 As pessoas jurídicas e coletivos sem constituição jurídica podem concorrer às cotas, desde que preencham algum dos requisitos abaixo: </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I – pessoas jurídicas que possuem quadro societário majoritariamente composto por pessoas negras (pretas e pardas) ou indígenas;</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II – pessoas jurídicas ou grupos e coletivos sem constituição jurídica que possuam pessoas negras (pretas e pardas) ou indígenas em posições de liderança no projeto cultural;</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III – pessoas jurídicas ou coletivos sem constituição jurídica que possuam equipe do projeto cultural majoritariamente composta por pessoas negras (pretas e pardas) ou indígenas; e</w:t>
      </w:r>
    </w:p>
    <w:p>
      <w:pPr>
        <w:pStyle w:val="Textojustificado"/>
        <w:spacing w:beforeAutospacing="0" w:before="120" w:afterAutospacing="0" w:after="120"/>
        <w:ind w:left="120" w:right="120" w:hanging="0"/>
        <w:jc w:val="both"/>
        <w:rPr>
          <w:rFonts w:ascii="Calibri" w:hAnsi="Calibri" w:cs="Calibri" w:asciiTheme="minorHAnsi" w:hAnsiTheme="minorHAnsi"/>
        </w:rPr>
      </w:pPr>
      <w:r>
        <w:rPr>
          <w:rFonts w:cs="Calibri" w:ascii="Calibri" w:hAnsi="Calibri" w:asciiTheme="minorHAnsi" w:hAnsiTheme="minorHAnsi"/>
        </w:rPr>
        <w:t>IV – outras formas de composição que garantam o protagonismo de pessoas negras (pretas e pardas) e indígenas na pessoa jurídica ou no grupo e coletivo sem personalidade jurídica.]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5.10 As pessoas físicas que compõem a equipe da pessoa jurídica e o grupo ou coletivo sem constituição jurídica devem se submeter aos regramentos descritos nos itens acima.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6. PRAZO PARA SE INSCREVER</w:t>
      </w:r>
    </w:p>
    <w:p>
      <w:pPr>
        <w:pStyle w:val="Textojustificado"/>
        <w:spacing w:beforeAutospacing="0" w:before="120" w:afterAutospacing="0" w:after="120"/>
        <w:ind w:left="120" w:right="120" w:hanging="0"/>
        <w:jc w:val="both"/>
        <w:rPr>
          <w:rFonts w:ascii="Calibri" w:hAnsi="Calibri" w:cs="Calibri" w:asciiTheme="minorHAnsi" w:hAnsiTheme="minorHAnsi"/>
          <w:color w:val="3366FF"/>
        </w:rPr>
      </w:pPr>
      <w:r>
        <w:rPr>
          <w:rFonts w:cs="Calibri" w:ascii="Calibri" w:hAnsi="Calibri" w:asciiTheme="minorHAnsi" w:hAnsiTheme="minorHAnsi"/>
          <w:color w:val="000000"/>
        </w:rPr>
        <w:t xml:space="preserve">6.1 Para se inscrever no Edital, o proponente deve encaminhar toda documentação obrigatória relatada no item 7.2, entre os dias 13 a 24 de novembro de 2023.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7. COMO SE INSCREVER</w:t>
      </w:r>
    </w:p>
    <w:p>
      <w:pPr>
        <w:pStyle w:val="Textojustificado"/>
        <w:spacing w:beforeAutospacing="0" w:before="120" w:afterAutospacing="0" w:after="120"/>
        <w:ind w:left="120" w:right="120" w:hanging="0"/>
        <w:jc w:val="both"/>
        <w:rPr/>
      </w:pPr>
      <w:r>
        <w:rPr>
          <w:rFonts w:cs="Calibri" w:ascii="Calibri" w:hAnsi="Calibri" w:asciiTheme="minorHAnsi" w:hAnsiTheme="minorHAnsi"/>
          <w:color w:val="000000"/>
        </w:rPr>
        <w:t xml:space="preserve">7.1 O proponente deve preencher o formulário de inscrição disponível no link </w:t>
      </w:r>
      <w:hyperlink r:id="rId2">
        <w:r>
          <w:rPr>
            <w:rStyle w:val="LinkdaInternet"/>
            <w:rFonts w:cs="Calibri" w:ascii="Calibri" w:hAnsi="Calibri" w:asciiTheme="minorHAnsi" w:hAnsiTheme="minorHAnsi"/>
          </w:rPr>
          <w:t>https://bit.ly/3FN1TdV</w:t>
        </w:r>
      </w:hyperlink>
      <w:r>
        <w:rPr>
          <w:rFonts w:cs="Calibri" w:ascii="Calibri" w:hAnsi="Calibri" w:asciiTheme="minorHAnsi" w:hAnsiTheme="minorHAnsi"/>
          <w:color w:val="000000"/>
        </w:rPr>
        <w:t xml:space="preserve"> e anexar o que for necessário, conforme especificado abaixo: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a) Anexo VII preenchido, incluindo informações sobre sua contrapartida, currículo do proponente e breve currículo equipe, em locais indicados;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b) Documentos pessoais do proponente CPF e RG ou CNH (se Pessoa Física); CNPJ se pessoa jurídica;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c) Outros documentos que o proponente julgar necessário para auxiliar na avaliação do mérito cultural do projeto.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7.2 O proponente é responsável pelo envio dos documentos e pela qualidade visual, conteúdo dos arquivos e informações de seu projeto.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7.3 Cada Proponente poderá concorrer neste edital com no máximo 01 (um) projeto, a ser inscrito no CPF ou CNPJ.</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7.4 Os projetos apresentados deverão conter previsão de execução não superior 30 de  maio de 2024.</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7.5 O proponente deve se responsabilizar pelo acompanhamento das atualizações/publicações pertinentes ao edital e seus prazos nos canais formais de comunicação.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7.6 As inscrições deste edital são gratuitas.</w:t>
      </w:r>
    </w:p>
    <w:p>
      <w:pPr>
        <w:pStyle w:val="Textojustificado"/>
        <w:spacing w:beforeAutospacing="0" w:before="120" w:afterAutospacing="0" w:after="120"/>
        <w:ind w:left="142" w:hanging="0"/>
        <w:jc w:val="both"/>
        <w:rPr/>
      </w:pPr>
      <w:r>
        <w:rPr>
          <w:rFonts w:cs="Calibri" w:ascii="Calibri" w:hAnsi="Calibri" w:asciiTheme="minorHAnsi" w:hAnsiTheme="minorHAnsi"/>
          <w:color w:val="000000"/>
        </w:rPr>
        <w:t>7.7 As propostas que apresentem quaisquer formas de preconceito de origem, raça, etnia, gênero, cor, idade ou outras formas de discriminação serão desclassificadas, com fundamento no disposto no </w:t>
      </w:r>
      <w:r>
        <w:fldChar w:fldCharType="begin"/>
      </w:r>
      <w:r>
        <w:rPr>
          <w:rStyle w:val="Style"/>
          <w:rFonts w:cs="Calibri" w:ascii="Calibri" w:hAnsi="Calibri"/>
        </w:rPr>
        <w:instrText> HYPERLINK "http://www.planalto.gov.br/ccivil_03/Constituicao/Constituicao.htm" \l "art3iv"</w:instrText>
      </w:r>
      <w:r>
        <w:rPr>
          <w:rStyle w:val="Style"/>
          <w:rFonts w:cs="Calibri" w:ascii="Calibri" w:hAnsi="Calibri"/>
        </w:rPr>
        <w:fldChar w:fldCharType="separate"/>
      </w:r>
      <w:r>
        <w:rPr>
          <w:rStyle w:val="Style"/>
          <w:rFonts w:cs="Calibri" w:ascii="Calibri" w:hAnsi="Calibri" w:asciiTheme="minorHAnsi" w:hAnsiTheme="minorHAnsi"/>
          <w:color w:val="000000"/>
        </w:rPr>
        <w:t>inciso IV do caput do art. 3º da Constituição,</w:t>
      </w:r>
      <w:r>
        <w:rPr>
          <w:rStyle w:val="Style"/>
          <w:rFonts w:cs="Calibri" w:ascii="Calibri" w:hAnsi="Calibri"/>
        </w:rPr>
        <w:fldChar w:fldCharType="end"/>
      </w:r>
      <w:r>
        <w:rPr>
          <w:rFonts w:cs="Calibri" w:ascii="Calibri" w:hAnsi="Calibri" w:asciiTheme="minorHAnsi" w:hAnsiTheme="minorHAnsi"/>
          <w:color w:val="000000"/>
        </w:rPr>
        <w:t xml:space="preserve"> garantidos o contraditório e a ampla defesa. </w:t>
      </w:r>
    </w:p>
    <w:p>
      <w:pPr>
        <w:pStyle w:val="Textojustificado"/>
        <w:spacing w:beforeAutospacing="0" w:before="120" w:afterAutospacing="0" w:after="120"/>
        <w:ind w:left="142" w:hanging="0"/>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color w:val="000000"/>
        </w:rPr>
        <w:t>7.8 Caso o candidato seja Pessoa com Deficiência (auditiva, física, intelectual, múltipla ou visual), a inscrição poderá ser realizada por meio de vídeo, ou o meio acessível dependendo da deficiência, contendo relato da trajetória do proponente, o(s) projeto(s) que pretende realizar, profissionais que atuarão e valores do(s) projeto(s), dispensado da entrega física de documentação no ato da inscrição. O material deve ser enviado para o e mail LPG@PEREIRABARRETO.SP.GOV.BR.</w:t>
      </w:r>
      <w:r>
        <w:rPr>
          <w:rFonts w:cs="Calibri" w:ascii="Calibri" w:hAnsi="Calibri" w:asciiTheme="minorHAnsi" w:cstheme="minorHAnsi" w:hAnsiTheme="minorHAnsi"/>
          <w:b/>
          <w:color w:val="000000"/>
        </w:rPr>
        <w:t xml:space="preserve"> Se selecionado, deverá encaminhar a devida documentação, citada no item 7.2.  </w:t>
      </w:r>
    </w:p>
    <w:p>
      <w:pPr>
        <w:pStyle w:val="Textojustificado"/>
        <w:spacing w:beforeAutospacing="0" w:before="120" w:afterAutospacing="0" w:after="120"/>
        <w:ind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42"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 xml:space="preserve">8. MODELO DE PROJETO E PLANILHA ORÇAMENTÁRIA </w:t>
      </w:r>
    </w:p>
    <w:p>
      <w:pPr>
        <w:pStyle w:val="Textojustificado"/>
        <w:spacing w:beforeAutospacing="0" w:before="120" w:afterAutospacing="0" w:after="120"/>
        <w:ind w:left="142" w:right="120" w:hanging="0"/>
        <w:jc w:val="both"/>
        <w:rPr/>
      </w:pPr>
      <w:r>
        <w:rPr>
          <w:rFonts w:cs="Calibri" w:ascii="Calibri" w:hAnsi="Calibri" w:asciiTheme="minorHAnsi" w:hAnsiTheme="minorHAnsi"/>
          <w:color w:val="000000"/>
        </w:rPr>
        <w:t xml:space="preserve">8.1 O proponente deve preencher o modelo de Anexo VII, disponível no site da Prefeitura </w:t>
      </w:r>
      <w:r>
        <w:rPr>
          <w:rFonts w:cs="Calibri" w:ascii="Calibri" w:hAnsi="Calibri" w:asciiTheme="minorHAnsi" w:hAnsiTheme="minorHAnsi"/>
          <w:b/>
          <w:color w:val="000000"/>
        </w:rPr>
        <w:t>(</w:t>
      </w:r>
      <w:hyperlink r:id="rId3">
        <w:r>
          <w:rPr>
            <w:rStyle w:val="LinkdaInternet"/>
            <w:rFonts w:cs="Calibri" w:ascii="Calibri" w:hAnsi="Calibri" w:asciiTheme="minorHAnsi" w:hAnsiTheme="minorHAnsi"/>
            <w:b/>
          </w:rPr>
          <w:t>www.pereirabarreto.sp.gov.br</w:t>
        </w:r>
      </w:hyperlink>
      <w:r>
        <w:rPr>
          <w:rFonts w:cs="Calibri" w:ascii="Calibri" w:hAnsi="Calibri" w:asciiTheme="minorHAnsi" w:hAnsiTheme="minorHAnsi"/>
          <w:b/>
          <w:color w:val="000000"/>
        </w:rPr>
        <w:t>),</w:t>
      </w:r>
      <w:r>
        <w:rPr>
          <w:rFonts w:cs="Calibri" w:ascii="Calibri" w:hAnsi="Calibri" w:asciiTheme="minorHAnsi" w:hAnsiTheme="minorHAnsi"/>
          <w:color w:val="000000"/>
        </w:rPr>
        <w:t xml:space="preserve"> informando como será realizado seu projeto e como será utilizado o recurso financeiro recebido.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8.2 A estimativa de custos do projeto será prevista por categorias, sem a necessidade de detalhamento por item de despesa, conforme § 1º do art. 24 do Decreto 11.453/2023.</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8.3 A compatibilidade entre a estimativa de custos do projeto e os preços praticados no mercado será avaliada pelos membros do Comitê Gestor, de acordo com tabelas referenciais de valores, ou com outros métodos de verificação de valores praticados no mercado.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8.5 Os itens da planilha orçamentária poderão ser glosados, ou seja, vetados, total ou parcialmente, pela Comitê Gestor, se, após análise, não forem considerados com preços compatíveis aos praticados no mercado ou forem considerados incoerentes e em desconformidade com o projeto apresentado.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8.6 Caso o proponente discorde dos valores glosados (vetados) poderá apresentar recurso na fase de mérito cultural, conforme dispõe o item 12.8.</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8.7 O valor solicitado não poderá ser superior ao valor máximo destinado a cada projeto, conforme </w:t>
      </w:r>
      <w:r>
        <w:rPr>
          <w:rFonts w:cs="Calibri" w:ascii="Calibri" w:hAnsi="Calibri" w:asciiTheme="minorHAnsi" w:hAnsiTheme="minorHAnsi"/>
          <w:b/>
          <w:color w:val="000000"/>
        </w:rPr>
        <w:t>Anexo I</w:t>
      </w:r>
      <w:r>
        <w:rPr>
          <w:rFonts w:cs="Calibri" w:ascii="Calibri" w:hAnsi="Calibri" w:asciiTheme="minorHAnsi" w:hAnsiTheme="minorHAnsi"/>
          <w:color w:val="000000"/>
        </w:rPr>
        <w:t xml:space="preserve"> do presente edital.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9. ACESSIBILIDADE</w:t>
      </w:r>
    </w:p>
    <w:p>
      <w:pPr>
        <w:pStyle w:val="Textojustificado"/>
        <w:spacing w:beforeAutospacing="0" w:before="120" w:afterAutospacing="0" w:after="120"/>
        <w:ind w:left="120" w:right="120" w:hanging="0"/>
        <w:jc w:val="both"/>
        <w:rPr/>
      </w:pPr>
      <w:r>
        <w:rPr>
          <w:rFonts w:cs="Calibri" w:ascii="Calibri" w:hAnsi="Calibri" w:asciiTheme="minorHAnsi" w:hAnsiTheme="minorHAnsi"/>
          <w:color w:val="000000"/>
        </w:rPr>
        <w:t>9.1 Os projetos devem contar com medidas de acessibilidade física, atitudinal e comunicacional compatíveis com as características dos produtos resultantes do objeto, nos termos do disposto na </w:t>
      </w:r>
      <w:hyperlink r:id="rId4" w:tgtFrame="_blank">
        <w:r>
          <w:rPr>
            <w:rStyle w:val="LinkdaInternet"/>
            <w:rFonts w:cs="Calibri" w:ascii="Calibri" w:hAnsi="Calibri" w:asciiTheme="minorHAnsi" w:hAnsiTheme="minorHAnsi"/>
          </w:rPr>
          <w:t>Lei nº 13.146, de 6 de julho de 2015</w:t>
        </w:r>
      </w:hyperlink>
      <w:r>
        <w:rPr>
          <w:rFonts w:cs="Calibri" w:ascii="Calibri" w:hAnsi="Calibri" w:asciiTheme="minorHAnsi" w:hAnsiTheme="minorHAnsi"/>
          <w:color w:val="000000"/>
        </w:rPr>
        <w:t> (Lei Brasileira de Inclusão da Pessoa com Deficiência), de modo a contemplar:</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no aspecto comunicacional, recursos de acessibilidade para permitir o acesso de pessoas com deficiência intelectual, auditiva ou visual ao conteúdo dos produtos culturais gerados pelo projeto, pela iniciativa ou pelo espaço; 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9.2 Especificamente para pessoas com deficiência, mecanismos de protagonismo e participação poderão ser concretizados também por meio das seguintes iniciativas, entre outras: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adaptação de espaços culturais com residências inclusivas;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utilização de tecnologias assistivas, ajudas técnicas e produtos com desenho universal;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III - medidas de prevenção e erradicação de barreiras atitudinais;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IV - contratação de serviços de assistência por acompanhante; ou</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V - oferta de ações de formação e capacitação acessíveis a pessoas com deficiência.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9.3 Os projetos devem prever obrigatoriamente medidas de acessibilidade, sendo assegurado para essa finalidade no mínimo 10% do valor total do projeto.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9.4 A utilização do percentual mínimo de 10% de que trata o item 9.3 pode ser excepcionalmente dispensada quando: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for inaplicável em razão das características do objeto cultural, a exemplo de projetos cujo objeto seja o desenvolvimento de roteiro e licenciamento de obra audiovisual ; ou</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quando o projeto já contemplar integralmente as medidas de acessibilidade compatíveis com as características do objeto cultural.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9.5 Para projetos cujo objeto seja a produção audiovisual, consideram-se integralmente cumpridas as medidas de acessibilidade de que trata o subitem II do item 9.4 quando a produção  contemplar legendagem, legendagem descritiva, audiodescrição e LIBRAS - Língua Brasileira de Sinais.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9.6 O proponente deve apresentar justificativa para os casos em que o percentual mínimo de 10% é inaplicável.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10. CONTRAPARTIDA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10.1 Os agentes culturais contemplados neste edital deverão garantir, como contrapartida, as seguintes medidas: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sempre que possível, exibições com interação popular por meio da internet ou exibições públicas, quando aplicável, com distribuição gratuita de ingressos para os grupos referidos no item I, em intervalos regulares.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10.2 As contrapartidas deverão ser informadas no Anexo VII (Modelo de Projeto e Planilha), a ser inserido no Formulário de Inscrição no link citado anteriormente. </w:t>
      </w:r>
    </w:p>
    <w:p>
      <w:pPr>
        <w:pStyle w:val="Textojustificado"/>
        <w:spacing w:beforeAutospacing="0" w:before="120" w:afterAutospacing="0" w:after="120"/>
        <w:ind w:left="120" w:right="120" w:hanging="0"/>
        <w:jc w:val="both"/>
        <w:rPr>
          <w:rStyle w:val="Strong"/>
          <w:rFonts w:ascii="Calibri" w:hAnsi="Calibri" w:cs="Calibri" w:asciiTheme="minorHAnsi" w:hAnsiTheme="minorHAnsi"/>
          <w:color w:val="000000"/>
        </w:rPr>
      </w:pPr>
      <w:r>
        <w:rPr>
          <w:rFonts w:cs="Calibr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11. ETAPAS DO EDITAL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11.1 A seleção dos projetos submetidos a este Edital será composta das seguintes etapas: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 - Análise de mérito cultural dos projetos: fase de análise do projeto realizada por Comitê Gestor; 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II - Habilitação: fase de análise dos documentos de habilitação do proponente, descritos no tópico 14.</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12. ANÁLISE DE MÉRITO CULTURAL DOS PROJETOS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12.3 A análise dos projetos será realizada pelos pareceristas que serão contratados pela empresa responsável pela operacionalização da Lei Paulo Gustavo no município de Pereira Barreto.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hAnsiTheme="minorHAnsi"/>
          <w:color w:val="000000"/>
        </w:rPr>
        <w:t xml:space="preserve">12.4 </w:t>
      </w:r>
      <w:r>
        <w:rPr>
          <w:rFonts w:cs="Calibri" w:ascii="Calibri" w:hAnsi="Calibri" w:asciiTheme="minorHAnsi" w:cstheme="minorHAnsi" w:hAnsiTheme="minorHAnsi"/>
          <w:color w:val="000000"/>
        </w:rPr>
        <w:t xml:space="preserve">Para esta seleção, serão considerados os critérios de pontuação estabelecidos no </w:t>
      </w:r>
      <w:r>
        <w:rPr>
          <w:rFonts w:cs="Calibri" w:ascii="Calibri" w:hAnsi="Calibri" w:asciiTheme="minorHAnsi" w:cstheme="minorHAnsi" w:hAnsiTheme="minorHAnsi"/>
          <w:b/>
          <w:color w:val="000000"/>
        </w:rPr>
        <w:t>Anexo II</w:t>
      </w:r>
      <w:r>
        <w:rPr>
          <w:rFonts w:cs="Calibri" w:ascii="Calibri" w:hAnsi="Calibri" w:asciiTheme="minorHAnsi" w:cstheme="minorHAnsi" w:hAnsiTheme="minorHAnsi"/>
          <w:color w:val="000000"/>
        </w:rPr>
        <w: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12.5 Contra a decisão da fase de mérito cultural, caberá recurso destinado à Secretaria Municipal de Cultura e Turismo de Pereira Barreto (SMCT).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12.6 Os recursos de que tratam o item 12.5 deverão ser apresentados no prazo de 03 (três) dias úteis, conforme Inciso III, do Art. 16, do Decreto 11.453/2023 a contar da publicação do resultado, considerando-se para início da contagem o primeiro dia útil posterior à publicação.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12.7 Os recursos apresentados após o prazo não serão avaliados. </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 xml:space="preserve">12.8 Após o julgamento dos recursos, o resultado final da análise de mérito cultural será divulgado no site do município </w:t>
      </w:r>
      <w:hyperlink r:id="rId5">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rPr>
        <w:t xml:space="preserve">.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b/>
          <w:b/>
          <w:color w:val="000000"/>
        </w:rPr>
      </w:pPr>
      <w:r>
        <w:rPr>
          <w:rStyle w:val="Strong"/>
          <w:rFonts w:cs="Calibri" w:ascii="Calibri" w:hAnsi="Calibri" w:asciiTheme="minorHAnsi" w:hAnsiTheme="minorHAnsi"/>
          <w:color w:val="000000"/>
        </w:rPr>
        <w:t>​​</w:t>
      </w:r>
      <w:r>
        <w:rPr>
          <w:rFonts w:cs="Calibri" w:ascii="Calibri" w:hAnsi="Calibri" w:asciiTheme="minorHAnsi" w:cstheme="minorHAnsi" w:hAnsiTheme="minorHAnsi"/>
          <w:b/>
          <w:color w:val="000000"/>
        </w:rPr>
        <w:t>13.1.1 PESSOA FÍSICA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Cópia simples RG, CPF e/ou CNH;</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comprovante de residência, por meio da apresentação de contas relativas à residência ou de declaração assinada pelo agente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13.1.2 A comprovação de residência poderá ser dispensada nas hipóteses de agentes culturais: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pertencentes a comunidade indígena, quilombola, cigana ou circense;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pertencentes a população nômade ou itinerante; ou</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que se encontrem em situação de rua.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13.2 PESSOA JURÍDICA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Inscrição no cadastro nacional de pessoa jurídica - CNPJ, emitida no site da Secretaria da Receita Federal do Brasil;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Cópia simples do RG, CPF e/ou CNH do responsável legal/sócios;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Atos constitutivos, qual seja o contrato social, nos casos de pessoas jurídicas com fins lucrativos, ou estatuto, nos casos de organizações da sociedade civil;</w:t>
      </w:r>
    </w:p>
    <w:p>
      <w:pPr>
        <w:pStyle w:val="Textojustificado"/>
        <w:spacing w:beforeAutospacing="0" w:before="120" w:afterAutospacing="0" w:after="120"/>
        <w:ind w:left="120" w:right="120" w:hanging="0"/>
        <w:jc w:val="both"/>
        <w:rPr/>
      </w:pPr>
      <w:r>
        <w:rPr>
          <w:rFonts w:cs="Calibri" w:ascii="Calibri" w:hAnsi="Calibri" w:asciiTheme="minorHAnsi" w:cstheme="minorHAnsi" w:hAnsiTheme="minorHAnsi"/>
          <w:color w:val="000000"/>
        </w:rPr>
        <w:t xml:space="preserve">13.3 O proponente deve encaminhar a documentação obrigatória de habilitação por meio do email </w:t>
      </w:r>
      <w:hyperlink r:id="rId6">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color w:val="000000"/>
        </w:rPr>
        <w:t xml:space="preserve">.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13.4 </w:t>
      </w:r>
      <w:r>
        <w:rPr>
          <w:rFonts w:cs="Calibri" w:ascii="Calibri" w:hAnsi="Calibri" w:asciiTheme="minorHAnsi" w:cstheme="minorHAnsi" w:hAnsiTheme="minorHAnsi"/>
          <w:color w:val="000000"/>
        </w:rPr>
        <w:t>Contra a decisão da fase de habilitação, caberá recurso fundamentado e específico destinado à Secretaria responsável por este edital.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13.5  Os recursos de trata o item 13.4 deverão ser apresentados no prazo de 3 dias úteis a contar da publicação do resultado, considerando-se para início da contagem o primeiro dia útil posterior à publicação, não cabendo recurso administrativo da decisão após esta fase.</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13.6 Os recursos apresentados após o prazo não serão avaliados.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13.7 Caso o proponente esteja em débito com o ente público responsável pela seleção e com a União não será possível o recebimento dos recursos de que trata este Edital.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14. ASSINATURA DO TERMO DE EXECUÇÃO CULTURAL E RECEBIMENTO DOS RECURSOS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14.1 Finalizada a fase de habilitação, o agente cultural contemplado será convocado a assinar o Termo de Execução Cultural, conforme </w:t>
      </w:r>
      <w:r>
        <w:rPr>
          <w:rFonts w:cs="Calibri" w:ascii="Calibri" w:hAnsi="Calibri" w:asciiTheme="minorHAnsi" w:cstheme="minorHAnsi" w:hAnsiTheme="minorHAnsi"/>
          <w:b/>
          <w:color w:val="000000"/>
        </w:rPr>
        <w:t>Anexo III</w:t>
      </w:r>
      <w:r>
        <w:rPr>
          <w:rFonts w:cs="Calibri" w:ascii="Calibri" w:hAnsi="Calibri" w:asciiTheme="minorHAnsi" w:cstheme="minorHAnsi" w:hAnsiTheme="minorHAnsi"/>
          <w:color w:val="000000"/>
        </w:rPr>
        <w:t xml:space="preserve"> deste Edital, de forma presencial ou eletrônica.</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14.2 O Termo de Execução Cultural corresponde ao documento a ser assinado pelo agente cultural selecionado e pela Secretaria responsável por este edital,</w:t>
      </w:r>
      <w:r>
        <w:rPr>
          <w:rFonts w:cs="Calibri" w:ascii="Calibri" w:hAnsi="Calibri" w:asciiTheme="minorHAnsi" w:cstheme="minorHAnsi" w:hAnsiTheme="minorHAnsi"/>
          <w:color w:val="FF0000"/>
        </w:rPr>
        <w:t> </w:t>
      </w:r>
      <w:r>
        <w:rPr>
          <w:rFonts w:cs="Calibri" w:ascii="Calibri" w:hAnsi="Calibri" w:asciiTheme="minorHAnsi" w:cstheme="minorHAnsi" w:hAnsiTheme="minorHAnsi"/>
          <w:color w:val="000000"/>
        </w:rPr>
        <w:t>contendo as obrigações dos assinantes do Termo.</w:t>
      </w:r>
    </w:p>
    <w:p>
      <w:pPr>
        <w:pStyle w:val="Textojustificado"/>
        <w:spacing w:beforeAutospacing="0" w:before="120" w:afterAutospacing="0" w:after="120"/>
        <w:ind w:left="142" w:hanging="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14.3 Após a assinatura do Termo de Execução Cultural, o agente cultural receberá os recursos em conta bancária específica aberta para o recebimento dos recursos deste Edital, em desembolso único, em até 30 (trinta dias).</w:t>
      </w:r>
    </w:p>
    <w:p>
      <w:pPr>
        <w:pStyle w:val="Textojustificado"/>
        <w:spacing w:beforeAutospacing="0" w:before="120" w:afterAutospacing="0" w:after="120"/>
        <w:ind w:left="142" w:hanging="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14.4 A assinatura do Termo de Execução Cultural e o recebimento do apoio estão condicionados à existência de disponibilidade orçamentária e financeira, caracterizando a seleção como expectativa de direito do proponente</w:t>
      </w:r>
      <w:r>
        <w:rPr>
          <w:rFonts w:cs="Calibri" w:ascii="Calibri" w:hAnsi="Calibri" w:asciiTheme="minorHAnsi" w:cstheme="minorHAnsi" w:hAnsiTheme="minorHAnsi"/>
        </w:rPr>
        <w:t xml:space="preserve">. </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rPr>
        <w:t xml:space="preserve">14.5 O agente cultural deve assinar o Termo de Execução Cultural até 5 (cinco) dias úteis após o contato da Prefeitura Municipal, enviar para o e-mail </w:t>
      </w:r>
      <w:hyperlink r:id="rId7">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rPr>
        <w:t>, sob pena de perda do apoio financeiro.</w:t>
      </w:r>
    </w:p>
    <w:p>
      <w:pPr>
        <w:pStyle w:val="Textojustificado"/>
        <w:spacing w:beforeAutospacing="0" w:before="120" w:afterAutospacing="0" w:after="120"/>
        <w:ind w:left="142" w:hanging="0"/>
        <w:jc w:val="both"/>
        <w:rPr>
          <w:rFonts w:ascii="Calibri" w:hAnsi="Calibri" w:cs="Calibri" w:asciiTheme="minorHAnsi" w:cstheme="minorHAnsi" w:hAnsiTheme="minorHAnsi"/>
        </w:rPr>
      </w:pPr>
      <w:r>
        <w:rPr>
          <w:rFonts w:cs="Calibri" w:cstheme="minorHAnsi" w:ascii="Calibri" w:hAnsi="Calibri"/>
        </w:rPr>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15. DIVULGAÇÃO DOS PROJETOS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15.1 Os produtos artístico-culturais e as peças de divulgação dos projetos exibirão as marcas do Governo federal, de acordo com as orientações técnicas do manual de aplicação de marcas divulgado pelo Ministério da Cultura.</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15.2 O material de divulgação dos projetos e seus produtos será disponibilizado em formatos acessíveis a pessoas com deficiência e conterá informações sobre os recursos de acessibilidade disponibilizados.</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15.3 O material de divulgação dos projetos deve ter caráter educativo, informativo ou de orientação social, e não pode conter nomes, símbolos ou imagens que caracterizem promoção pessoal.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15.4 O proponente é responsável por colher assinaturas, se for o caso, de pessoas que terão sua imagem ou voz exibidas ou utilizadas, durante a execução dos projetos. A prefeitura estará isenta de quaisquer processos por uso indevido de imagem ou voz, resultantes de projetos de proponente selecionados neste edital. Para tal, existe o Anexo VIII – Modelo de Termo de uso de imagem e voz.</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16. MONITORAMENTO E AVALIAÇÃO DE RESULTADOS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16.1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xml:space="preserve">16.2 O agente cultural deve prestar contas por meio da apresentação do Relatório Final de Execução do Objeto, conforme documento constante no </w:t>
      </w:r>
      <w:r>
        <w:rPr>
          <w:rFonts w:cs="Calibri" w:ascii="Calibri" w:hAnsi="Calibri" w:asciiTheme="minorHAnsi" w:hAnsiTheme="minorHAnsi"/>
          <w:b/>
          <w:color w:val="000000"/>
        </w:rPr>
        <w:t>Anexo IV</w:t>
      </w:r>
      <w:r>
        <w:rPr>
          <w:rFonts w:cs="Calibri" w:ascii="Calibri" w:hAnsi="Calibri" w:asciiTheme="minorHAnsi" w:hAnsiTheme="minorHAnsi"/>
          <w:color w:val="000000"/>
        </w:rPr>
        <w:t>. O Relatório Final de Execução do Objeto deve ser apresentado até 30 (trinta) dias a contar do fim da vigência do Termo de Execução Cultural.</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17. CRONOGRAMA</w:t>
      </w:r>
    </w:p>
    <w:tbl>
      <w:tblPr>
        <w:tblStyle w:val="Tabelacomgrade"/>
        <w:tblW w:w="9214" w:type="dxa"/>
        <w:jc w:val="left"/>
        <w:tblInd w:w="137" w:type="dxa"/>
        <w:tblCellMar>
          <w:top w:w="0" w:type="dxa"/>
          <w:left w:w="108" w:type="dxa"/>
          <w:bottom w:w="0" w:type="dxa"/>
          <w:right w:w="108" w:type="dxa"/>
        </w:tblCellMar>
        <w:tblLook w:firstRow="1" w:noVBand="1" w:lastRow="0" w:firstColumn="1" w:lastColumn="0" w:noHBand="0" w:val="04a0"/>
      </w:tblPr>
      <w:tblGrid>
        <w:gridCol w:w="3997"/>
        <w:gridCol w:w="5216"/>
      </w:tblGrid>
      <w:tr>
        <w:trPr/>
        <w:tc>
          <w:tcPr>
            <w:tcW w:w="3997" w:type="dxa"/>
            <w:tcBorders/>
            <w:shd w:fill="auto" w:val="clear"/>
          </w:tcPr>
          <w:p>
            <w:pPr>
              <w:pStyle w:val="Textojustificado"/>
              <w:spacing w:lineRule="auto" w:line="288" w:beforeAutospacing="0" w:before="0" w:afterAutospacing="0" w:after="0"/>
              <w:jc w:val="center"/>
              <w:rPr>
                <w:rFonts w:ascii="Calibri" w:hAnsi="Calibri" w:cs="Calibri" w:asciiTheme="minorHAnsi" w:cstheme="minorHAnsi" w:hAnsiTheme="minorHAnsi"/>
                <w:b/>
                <w:b/>
              </w:rPr>
            </w:pPr>
            <w:r>
              <w:rPr>
                <w:rFonts w:cs="Calibri" w:ascii="Calibri" w:hAnsi="Calibri" w:asciiTheme="minorHAnsi" w:cstheme="minorHAnsi" w:hAnsiTheme="minorHAnsi"/>
                <w:b/>
                <w:kern w:val="0"/>
                <w14:ligatures w14:val="none"/>
              </w:rPr>
              <w:t>AÇÕES</w:t>
            </w:r>
          </w:p>
        </w:tc>
        <w:tc>
          <w:tcPr>
            <w:tcW w:w="5216" w:type="dxa"/>
            <w:tcBorders/>
            <w:shd w:fill="auto" w:val="clear"/>
          </w:tcPr>
          <w:p>
            <w:pPr>
              <w:pStyle w:val="Textojustificado"/>
              <w:spacing w:lineRule="auto" w:line="288" w:beforeAutospacing="0" w:before="0" w:afterAutospacing="0" w:after="0"/>
              <w:jc w:val="center"/>
              <w:rPr>
                <w:rFonts w:ascii="Calibri" w:hAnsi="Calibri" w:cs="Calibri" w:asciiTheme="minorHAnsi" w:cstheme="minorHAnsi" w:hAnsiTheme="minorHAnsi"/>
                <w:b/>
                <w:b/>
              </w:rPr>
            </w:pPr>
            <w:r>
              <w:rPr>
                <w:rFonts w:cs="Calibri" w:ascii="Calibri" w:hAnsi="Calibri" w:asciiTheme="minorHAnsi" w:cstheme="minorHAnsi" w:hAnsiTheme="minorHAnsi"/>
                <w:b/>
                <w:kern w:val="0"/>
                <w14:ligatures w14:val="none"/>
              </w:rPr>
              <w:t>DATAS/PRAZOS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Lançamento do edital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13 a 24 de Novembro de 2023</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Lista de inscritos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3 dias corridos a contar do dia útil seguinte, do último dia da finalização das inscrições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Resultado final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10 dias corridos a contar do último dia do prazo da lista de inscritos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3 dias úteis da data da divulgação do resultado fin</w:t>
            </w:r>
            <w:bookmarkStart w:id="0" w:name="_GoBack"/>
            <w:bookmarkEnd w:id="0"/>
            <w:r>
              <w:rPr>
                <w:rFonts w:cs="Calibri" w:ascii="Calibri" w:hAnsi="Calibri" w:asciiTheme="minorHAnsi" w:cstheme="minorHAnsi" w:hAnsiTheme="minorHAnsi"/>
                <w:kern w:val="0"/>
                <w14:ligatures w14:val="none"/>
              </w:rPr>
              <w:t>al</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Análise dos 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 xml:space="preserve">Até 2 dias úteis, contados do dia seguinte ao término do prazo para recursos </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Publicação do resultado final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 xml:space="preserve">Até 2 dias úteis, contados do dia seguinte ao término da análise dos recursos </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Assinatura do termo de execução</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5 dias úteis após o contato da Prefeitura com o proponente selecionado</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Recebimento dos 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Em até 15 dias da assinatura do termo de execução</w:t>
            </w:r>
          </w:p>
        </w:tc>
      </w:tr>
    </w:tbl>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Fonts w:cs="Calibri" w:ascii="Calibri" w:hAnsi="Calibri"/>
          <w:color w:val="000000"/>
        </w:rPr>
      </w:r>
    </w:p>
    <w:p>
      <w:pPr>
        <w:pStyle w:val="Textojustificado"/>
        <w:spacing w:beforeAutospacing="0" w:before="120" w:afterAutospacing="0" w:after="120"/>
        <w:ind w:right="120" w:hanging="0"/>
        <w:jc w:val="both"/>
        <w:rPr>
          <w:rFonts w:ascii="Calibri" w:hAnsi="Calibri" w:cs="Calibri" w:asciiTheme="minorHAnsi" w:hAnsiTheme="minorHAnsi"/>
          <w:color w:val="000000"/>
        </w:rPr>
      </w:pPr>
      <w:r>
        <w:rPr>
          <w:rFonts w:cs="Calibri" w:ascii="Calibri" w:hAnsi="Calibri" w:ascii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hAnsiTheme="minorHAnsi"/>
          <w:color w:val="000000"/>
        </w:rPr>
      </w:pPr>
      <w:r>
        <w:rPr>
          <w:rStyle w:val="Strong"/>
          <w:rFonts w:cs="Calibri" w:ascii="Calibri" w:hAnsi="Calibri" w:asciiTheme="minorHAnsi" w:hAnsiTheme="minorHAnsi"/>
          <w:color w:val="000000"/>
        </w:rPr>
        <w:t>18. DISPOSIÇÕES FINAIS</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 xml:space="preserve">18.1 O acompanhamento de todas as etapas deste Edital e a observância quanto aos prazos serão de inteira responsabilidade dos proponentes. Para tanto, deverão ficar atentos às publicações no site </w:t>
      </w:r>
      <w:hyperlink r:id="rId8">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color w:val="000000"/>
        </w:rPr>
        <w:t xml:space="preserve"> e nas mídias sociais oficiais.</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18.2 O presente Edital e os seus anexos estão disponíveis no site</w:t>
      </w:r>
      <w:r>
        <w:rPr>
          <w:rFonts w:cs="Calibri" w:ascii="Calibri" w:hAnsi="Calibri" w:asciiTheme="minorHAnsi" w:cstheme="minorHAnsi" w:hAnsiTheme="minorHAnsi"/>
          <w:color w:val="FF0000"/>
        </w:rPr>
        <w:t xml:space="preserve"> </w:t>
      </w:r>
      <w:hyperlink r:id="rId9">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color w:val="000000"/>
        </w:rPr>
        <w:t>.</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18.3 Demais informações podem ser obtidas através do e-mail </w:t>
      </w:r>
      <w:hyperlink r:id="rId10">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rPr>
        <w: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18.4 Os casos omissos porventura existentes ficarão a cargo da Secretaria responsável por este edital.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18.5 Eventuais irregularidades relacionadas aos requisitos de participação, constatadas a qualquer tempo, implicarão na desclassificação do proponente.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18.6 O proponente será o único responsável pela veracidade da proposta e documentos encaminhados, isentando a Prefeitura Municipal de Pereira Barreto</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 xml:space="preserve">de qualquer responsabilidade civil ou penal.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18.7 O apoio concedido por meio deste Edital poderá ser acumulado com recursos captados por meio de leis de incentivo fiscal e outros programas e/ou apoios federais, estaduais e municipais.</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18.8 A inscrição implica no conhecimento e concordância dos termos e condições previstos neste Edital, na Lei Complementar  195/2022 (Lei Paulo Gustavo), no Decreto 11.525/2023 (Decreto Paulo Gustavo) e no Decreto 11.453/2023 (Decreto de Fomento).</w:t>
      </w:r>
    </w:p>
    <w:p>
      <w:pPr>
        <w:pStyle w:val="Textojustificado"/>
        <w:spacing w:beforeAutospacing="0" w:before="120" w:afterAutospacing="0" w:after="120"/>
        <w:ind w:left="142" w:hanging="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18.9 O resultado do chamamento público regido por este Edital terá validade até 45 (quarenta e cinco) dias.</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18.10 Compõem este Edital os seguintes anexos: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 – Recursos do Edital;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 - Critérios de seleção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III - Termo de Execução Cultural;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IV - Relatório de Execução do Objeto;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Anexo V - Declaração de representação de grupo ou coletivo; e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 - Declaração étnico-racial.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VII - Modelo de projeto e planilha orçamentária</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VIII – Modelo de Termo de uso de imagem e voz</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tabs>
          <w:tab w:val="clear" w:pos="708"/>
          <w:tab w:val="left" w:pos="3300" w:leader="none"/>
        </w:tabs>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b/>
      </w:r>
    </w:p>
    <w:p>
      <w:pPr>
        <w:pStyle w:val="Normal"/>
        <w:pBdr/>
        <w:spacing w:lineRule="auto" w:line="240" w:before="0" w:after="0"/>
        <w:jc w:val="both"/>
        <w:rPr>
          <w:sz w:val="24"/>
          <w:szCs w:val="24"/>
        </w:rPr>
      </w:pPr>
      <w:r>
        <w:rPr>
          <w:sz w:val="24"/>
          <w:szCs w:val="24"/>
        </w:rPr>
      </w:r>
    </w:p>
    <w:p>
      <w:pPr>
        <w:pStyle w:val="Normal"/>
        <w:pBdr/>
        <w:spacing w:lineRule="auto" w:line="240" w:before="0" w:after="0"/>
        <w:jc w:val="center"/>
        <w:rPr>
          <w:sz w:val="24"/>
          <w:szCs w:val="24"/>
        </w:rPr>
      </w:pPr>
      <w:r>
        <w:rPr>
          <w:sz w:val="24"/>
          <w:szCs w:val="24"/>
        </w:rPr>
        <w:t>____________________________________________</w:t>
      </w:r>
    </w:p>
    <w:p>
      <w:pPr>
        <w:pStyle w:val="Normal"/>
        <w:pBdr/>
        <w:spacing w:lineRule="auto" w:line="240" w:before="0" w:after="0"/>
        <w:jc w:val="center"/>
        <w:rPr>
          <w:sz w:val="24"/>
          <w:szCs w:val="24"/>
        </w:rPr>
      </w:pPr>
      <w:r>
        <w:rPr>
          <w:sz w:val="24"/>
          <w:szCs w:val="24"/>
        </w:rPr>
        <w:t>Igor de Freitas Grespan</w:t>
      </w:r>
    </w:p>
    <w:p>
      <w:pPr>
        <w:pStyle w:val="Normal"/>
        <w:pBdr/>
        <w:spacing w:lineRule="auto" w:line="240" w:before="0" w:after="0"/>
        <w:jc w:val="center"/>
        <w:rPr>
          <w:sz w:val="24"/>
          <w:szCs w:val="24"/>
        </w:rPr>
      </w:pPr>
      <w:r>
        <w:rPr>
          <w:sz w:val="24"/>
          <w:szCs w:val="24"/>
        </w:rPr>
        <w:t>Secretário de Turismo e Cultura</w:t>
      </w:r>
    </w:p>
    <w:p>
      <w:pPr>
        <w:pStyle w:val="Textojustificado"/>
        <w:spacing w:beforeAutospacing="0" w:before="120" w:afterAutospacing="0" w:after="12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
        <w:spacing w:before="0" w:after="160"/>
        <w:rPr/>
      </w:pPr>
      <w:r>
        <w:rPr/>
      </w:r>
    </w:p>
    <w:sectPr>
      <w:headerReference w:type="default" r:id="rId11"/>
      <w:footerReference w:type="default" r:id="rId12"/>
      <w:type w:val="nextPage"/>
      <w:pgSz w:w="11906" w:h="16838"/>
      <w:pgMar w:left="1418" w:right="1134" w:header="907"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w:hAnsi="Arial"/>
        <w:b/>
        <w:b/>
        <w:i/>
        <w:i/>
        <w:sz w:val="20"/>
        <w:szCs w:val="20"/>
      </w:rPr>
    </w:pPr>
    <w:r>
      <w:rPr>
        <w:rFonts w:ascii="Arial" w:hAnsi="Arial"/>
        <w:b/>
        <w:i/>
        <w:sz w:val="20"/>
        <w:szCs w:val="20"/>
      </w:rPr>
      <w:t>____________________________________________________________________________</w:t>
    </w:r>
  </w:p>
  <w:p>
    <w:pPr>
      <w:pStyle w:val="Rodap"/>
      <w:jc w:val="center"/>
      <w:rPr>
        <w:rFonts w:ascii="Arial" w:hAnsi="Arial"/>
        <w:b/>
        <w:b/>
        <w:i/>
        <w:i/>
        <w:sz w:val="20"/>
        <w:szCs w:val="20"/>
      </w:rPr>
    </w:pPr>
    <w:r>
      <w:rPr>
        <w:rFonts w:ascii="Arial" w:hAnsi="Arial"/>
        <w:b/>
        <w:i/>
        <w:sz w:val="20"/>
        <w:szCs w:val="20"/>
      </w:rPr>
      <w:drawing>
        <wp:anchor behindDoc="1" distT="0" distB="0" distL="0" distR="0" simplePos="0" locked="0" layoutInCell="1" allowOverlap="1" relativeHeight="25">
          <wp:simplePos x="0" y="0"/>
          <wp:positionH relativeFrom="column">
            <wp:posOffset>-114300</wp:posOffset>
          </wp:positionH>
          <wp:positionV relativeFrom="paragraph">
            <wp:posOffset>138430</wp:posOffset>
          </wp:positionV>
          <wp:extent cx="685800" cy="535305"/>
          <wp:effectExtent l="0" t="0" r="0" b="0"/>
          <wp:wrapNone/>
          <wp:docPr id="6"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 descr="brasao"/>
                  <pic:cNvPicPr>
                    <a:picLocks noChangeAspect="1" noChangeArrowheads="1"/>
                  </pic:cNvPicPr>
                </pic:nvPicPr>
                <pic:blipFill>
                  <a:blip r:embed="rId1"/>
                  <a:stretch>
                    <a:fillRect/>
                  </a:stretch>
                </pic:blipFill>
                <pic:spPr bwMode="auto">
                  <a:xfrm>
                    <a:off x="0" y="0"/>
                    <a:ext cx="685800" cy="535305"/>
                  </a:xfrm>
                  <a:prstGeom prst="rect">
                    <a:avLst/>
                  </a:prstGeom>
                </pic:spPr>
              </pic:pic>
            </a:graphicData>
          </a:graphic>
        </wp:anchor>
      </w:drawing>
    </w:r>
  </w:p>
  <w:p>
    <w:pPr>
      <w:pStyle w:val="Rodap"/>
      <w:jc w:val="center"/>
      <w:rPr>
        <w:rFonts w:ascii="Arial" w:hAnsi="Arial"/>
        <w:b/>
        <w:b/>
        <w:i/>
        <w:i/>
      </w:rPr>
    </w:pPr>
    <w:r>
      <w:rPr>
        <w:rFonts w:ascii="Arial" w:hAnsi="Arial"/>
        <w:b/>
        <w:i/>
      </w:rPr>
      <w:t>Departamento de Cultura</w:t>
    </w:r>
  </w:p>
  <w:p>
    <w:pPr>
      <w:pStyle w:val="Rodap"/>
      <w:jc w:val="center"/>
      <w:rPr>
        <w:rFonts w:ascii="Arial" w:hAnsi="Arial"/>
        <w:i/>
        <w:i/>
        <w:sz w:val="20"/>
        <w:szCs w:val="20"/>
        <w:lang w:val="en-US"/>
      </w:rPr>
    </w:pPr>
    <w:r>
      <w:rPr>
        <w:rFonts w:ascii="Arial" w:hAnsi="Arial"/>
        <w:i/>
        <w:sz w:val="20"/>
        <w:szCs w:val="20"/>
      </w:rPr>
      <w:t>Rua Ary Dornellas Carneiro</w:t>
    </w:r>
    <w:r>
      <w:rPr>
        <w:rFonts w:ascii="Arial" w:hAnsi="Arial"/>
        <w:i/>
        <w:sz w:val="20"/>
        <w:szCs w:val="20"/>
        <w:lang w:val="en-US"/>
      </w:rPr>
      <w:t xml:space="preserve">, nº </w:t>
    </w:r>
    <w:r>
      <w:rPr>
        <w:rFonts w:ascii="Arial" w:hAnsi="Arial"/>
        <w:i/>
        <w:sz w:val="20"/>
        <w:szCs w:val="20"/>
      </w:rPr>
      <w:t xml:space="preserve">1604, Sede </w:t>
    </w:r>
    <w:r>
      <w:rPr>
        <w:rFonts w:ascii="Arial" w:hAnsi="Arial"/>
        <w:i/>
        <w:sz w:val="20"/>
        <w:szCs w:val="20"/>
        <w:lang w:val="en-US"/>
      </w:rPr>
      <w:t xml:space="preserve"> – CEP 15.370-000</w:t>
    </w:r>
  </w:p>
  <w:p>
    <w:pPr>
      <w:pStyle w:val="Rodap"/>
      <w:jc w:val="center"/>
      <w:rPr>
        <w:rFonts w:ascii="Arial" w:hAnsi="Arial"/>
        <w:i/>
        <w:i/>
        <w:sz w:val="20"/>
        <w:szCs w:val="20"/>
      </w:rPr>
    </w:pPr>
    <w:r>
      <w:rPr>
        <w:rFonts w:ascii="Arial" w:hAnsi="Arial"/>
        <w:i/>
        <w:sz w:val="20"/>
        <w:szCs w:val="20"/>
      </w:rPr>
      <w:t>Tel. (18)3704-4986</w:t>
    </w:r>
  </w:p>
  <w:sdt>
    <w:sdtPr>
      <w:docPartObj>
        <w:docPartGallery w:val="Page Numbers (Bottom of Page)"/>
        <w:docPartUnique w:val="true"/>
      </w:docPartObj>
      <w:id w:val="841566701"/>
    </w:sdtPr>
    <w:sdtContent>
      <w:p>
        <w:pPr>
          <w:pStyle w:val="Rodap"/>
          <w:jc w:val="right"/>
          <w:rPr/>
        </w:pPr>
        <w:r>
          <w:rPr/>
          <w:fldChar w:fldCharType="begin"/>
        </w:r>
        <w:r>
          <w:rPr/>
          <w:instrText> PAGE </w:instrText>
        </w:r>
        <w:r>
          <w:rPr/>
          <w:fldChar w:fldCharType="separate"/>
        </w:r>
        <w:r>
          <w:rPr/>
          <w:t>12</w:t>
        </w:r>
        <w:r>
          <w:rPr/>
          <w:fldChar w:fldCharType="end"/>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firstLine="1440"/>
      <w:rPr/>
    </w:pPr>
    <w:r>
      <w:rPr/>
      <w:drawing>
        <wp:inline distT="0" distB="0" distL="0" distR="0">
          <wp:extent cx="947420" cy="708660"/>
          <wp:effectExtent l="0" t="0" r="0" b="0"/>
          <wp:docPr id="5" name="Imagem 1" descr="logo-prefeitura-de-pereira-barre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logo-prefeitura-de-pereira-barreto2"/>
                  <pic:cNvPicPr>
                    <a:picLocks noChangeAspect="1" noChangeArrowheads="1"/>
                  </pic:cNvPicPr>
                </pic:nvPicPr>
                <pic:blipFill>
                  <a:blip r:embed="rId2"/>
                  <a:stretch>
                    <a:fillRect/>
                  </a:stretch>
                </pic:blipFill>
                <pic:spPr bwMode="auto">
                  <a:xfrm>
                    <a:off x="0" y="0"/>
                    <a:ext cx="947420" cy="708660"/>
                  </a:xfrm>
                  <a:prstGeom prst="rect">
                    <a:avLst/>
                  </a:prstGeom>
                </pic:spPr>
              </pic:pic>
            </a:graphicData>
          </a:graphic>
        </wp:inline>
      </w:drawing>
      <mc:AlternateContent>
        <mc:Choice Requires="wps">
          <w:drawing>
            <wp:anchor behindDoc="1" distT="0" distB="0" distL="0" distR="0" simplePos="0" locked="0" layoutInCell="1" allowOverlap="1" relativeHeight="13" wp14:anchorId="4F378F1B">
              <wp:simplePos x="0" y="0"/>
              <wp:positionH relativeFrom="column">
                <wp:posOffset>1790700</wp:posOffset>
              </wp:positionH>
              <wp:positionV relativeFrom="paragraph">
                <wp:posOffset>-22860</wp:posOffset>
              </wp:positionV>
              <wp:extent cx="3368675" cy="869315"/>
              <wp:effectExtent l="0" t="0" r="3810" b="7620"/>
              <wp:wrapNone/>
              <wp:docPr id="1" name="Caixa de Texto 2"/>
              <a:graphic xmlns:a="http://schemas.openxmlformats.org/drawingml/2006/main">
                <a:graphicData uri="http://schemas.microsoft.com/office/word/2010/wordprocessingShape">
                  <wps:wsp>
                    <wps:cNvSpPr/>
                    <wps:spPr>
                      <a:xfrm>
                        <a:off x="0" y="0"/>
                        <a:ext cx="3368160" cy="868680"/>
                      </a:xfrm>
                      <a:prstGeom prst="rect">
                        <a:avLst/>
                      </a:prstGeom>
                      <a:solidFill>
                        <a:schemeClr val="lt1"/>
                      </a:solidFill>
                      <a:ln w="6480">
                        <a:noFill/>
                      </a:ln>
                    </wps:spPr>
                    <wps:style>
                      <a:lnRef idx="0"/>
                      <a:fillRef idx="0"/>
                      <a:effectRef idx="0"/>
                      <a:fontRef idx="minor"/>
                    </wps:style>
                    <wps:txbx>
                      <w:txbxContent>
                        <w:p>
                          <w:pPr>
                            <w:pStyle w:val="Contedodoquadro"/>
                            <w:spacing w:before="0" w:after="160"/>
                            <w:rPr/>
                          </w:pPr>
                          <w:r>
                            <w:rPr/>
                            <w:drawing>
                              <wp:inline distT="0" distB="0" distL="0" distR="0">
                                <wp:extent cx="3136265" cy="770890"/>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wps:txbx>
                    <wps:bodyPr>
                      <a:prstTxWarp prst="textNoShape"/>
                      <a:noAutofit/>
                    </wps:bodyPr>
                  </wps:wsp>
                </a:graphicData>
              </a:graphic>
            </wp:anchor>
          </w:drawing>
        </mc:Choice>
        <mc:Fallback>
          <w:pict>
            <v:rect id="shape_0" ID="Caixa de Texto 2" fillcolor="white" stroked="f" style="position:absolute;margin-left:141pt;margin-top:-1.8pt;width:265.15pt;height:68.35pt" wp14:anchorId="4F378F1B">
              <w10:wrap type="none"/>
              <v:fill o:detectmouseclick="t" type="solid" color2="black"/>
              <v:stroke color="#3465a4" weight="6480" joinstyle="round" endcap="flat"/>
              <v:textbox>
                <w:txbxContent>
                  <w:p>
                    <w:pPr>
                      <w:pStyle w:val="Contedodoquadro"/>
                      <w:spacing w:before="0" w:after="160"/>
                      <w:rPr/>
                    </w:pPr>
                    <w:r>
                      <w:rPr/>
                      <w:drawing>
                        <wp:inline distT="0" distB="0" distL="0" distR="0">
                          <wp:extent cx="3136265" cy="770890"/>
                          <wp:effectExtent l="0" t="0" r="0" b="0"/>
                          <wp:docPr id="4"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v:textbox>
            </v:rect>
          </w:pict>
        </mc:Fallback>
      </mc:AlternateContent>
    </w:r>
  </w:p>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186d"/>
    <w:rPr>
      <w:b/>
      <w:bCs/>
    </w:rPr>
  </w:style>
  <w:style w:type="character" w:styleId="LinkdaInternet">
    <w:name w:val="Link da Internet"/>
    <w:basedOn w:val="DefaultParagraphFont"/>
    <w:uiPriority w:val="99"/>
    <w:unhideWhenUsed/>
    <w:rsid w:val="00ff186d"/>
    <w:rPr>
      <w:color w:val="0000FF"/>
      <w:u w:val="single"/>
    </w:rPr>
  </w:style>
  <w:style w:type="character" w:styleId="CabealhoChar" w:customStyle="1">
    <w:name w:val="Cabeçalho Char"/>
    <w:basedOn w:val="DefaultParagraphFont"/>
    <w:link w:val="Cabealho"/>
    <w:uiPriority w:val="99"/>
    <w:qFormat/>
    <w:rsid w:val="00d40297"/>
    <w:rPr/>
  </w:style>
  <w:style w:type="character" w:styleId="RodapChar" w:customStyle="1">
    <w:name w:val="Rodapé Char"/>
    <w:basedOn w:val="DefaultParagraphFont"/>
    <w:link w:val="Rodap"/>
    <w:uiPriority w:val="99"/>
    <w:qFormat/>
    <w:rsid w:val="00d40297"/>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centralizadomaiusculas" w:customStyle="1">
    <w:name w:val="texto_centralizado_maiusculas"/>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unhideWhenUsed/>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1" w:customStyle="1">
    <w:name w:val="texto1"/>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40297"/>
    <w:pPr>
      <w:tabs>
        <w:tab w:val="clear" w:pos="708"/>
        <w:tab w:val="center" w:pos="4252" w:leader="none"/>
        <w:tab w:val="right" w:pos="8504" w:leader="none"/>
      </w:tabs>
      <w:spacing w:lineRule="auto" w:line="240" w:before="0" w:after="0"/>
    </w:pPr>
    <w:rPr/>
  </w:style>
  <w:style w:type="paragraph" w:styleId="Rodap">
    <w:name w:val="Footer"/>
    <w:basedOn w:val="Normal"/>
    <w:link w:val="RodapChar"/>
    <w:unhideWhenUsed/>
    <w:qFormat/>
    <w:rsid w:val="00d40297"/>
    <w:pPr>
      <w:tabs>
        <w:tab w:val="clear" w:pos="708"/>
        <w:tab w:val="center" w:pos="4252" w:leader="none"/>
        <w:tab w:val="right" w:pos="8504" w:leader="none"/>
      </w:tabs>
      <w:spacing w:lineRule="auto" w:line="240" w:before="0" w:after="0"/>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440c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3FN1TdV" TargetMode="External"/><Relationship Id="rId3" Type="http://schemas.openxmlformats.org/officeDocument/2006/relationships/hyperlink" Target="http://www.pereirabarreto.sp.gov.br/" TargetMode="External"/><Relationship Id="rId4" Type="http://schemas.openxmlformats.org/officeDocument/2006/relationships/hyperlink" Target="https://www.planalto.gov.br/ccivil_03/_Ato2015-2018/2015/Lei/L13146.htm" TargetMode="External"/><Relationship Id="rId5" Type="http://schemas.openxmlformats.org/officeDocument/2006/relationships/hyperlink" Target="http://www.pereirabarreto.sp.gov.br/" TargetMode="External"/><Relationship Id="rId6" Type="http://schemas.openxmlformats.org/officeDocument/2006/relationships/hyperlink" Target="mailto:LPG@PEREIRABARRETO.SP.GOV.BR" TargetMode="External"/><Relationship Id="rId7" Type="http://schemas.openxmlformats.org/officeDocument/2006/relationships/hyperlink" Target="mailto:LPG@PEREIRABARRETO.SP.GOV.BR" TargetMode="External"/><Relationship Id="rId8" Type="http://schemas.openxmlformats.org/officeDocument/2006/relationships/hyperlink" Target="http://www.pereirabarreto.sp.gov.br/" TargetMode="External"/><Relationship Id="rId9" Type="http://schemas.openxmlformats.org/officeDocument/2006/relationships/hyperlink" Target="http://www.pereirabarreto.sp.gov.br/" TargetMode="External"/><Relationship Id="rId10" Type="http://schemas.openxmlformats.org/officeDocument/2006/relationships/hyperlink" Target="mailto:LPG@PEREIRABARRETO.SP.GOV.BR"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ages>12</Pages>
  <Words>3761</Words>
  <Characters>21100</Characters>
  <CharactersWithSpaces>24747</CharactersWithSpaces>
  <Paragraphs>203</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2023-11-09T14:34:00Z</dcterms:created>
  <dc:creator>Laís Alves Valente</dc:creator>
  <dc:description/>
  <dc:language>pt-BR</dc:language>
  <cp:lastModifiedBy/>
  <dcterms:modified xsi:type="dcterms:W3CDTF">2023-11-09T15:58:02Z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MTUR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