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Style w:val="844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jc w:val="center"/>
        <w:rPr>
          <w:sz w:val="24"/>
          <w:szCs w:val="24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  <w:t xml:space="preserve">SECRETARIA MUNICIPAL DE TUIRISMO E CULTURA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/>
        <w:spacing/>
        <w:ind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pStyle w:val="845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jc w:val="center"/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</w:rPr>
        <w:t xml:space="preserve">EDITAL DE CHAMAMENTO PÚBLICO Nº 27/2026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r>
    </w:p>
    <w:p>
      <w:pPr>
        <w:pStyle w:val="845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</w:rPr>
        <w:t xml:space="preserve">PARA COMERCIALIZAÇÃO DE ALIMENTOS E BEBIDAS – PRAIA MUNICIPAL – FERIADO PROLONGADO 2026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r>
      <w:r/>
    </w:p>
    <w:p>
      <w:pPr>
        <w:pBdr/>
        <w:spacing/>
        <w:ind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jc w:val="both"/>
        <w:rPr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A PREFEITURA MUNICIPAL DA ESTÂNCIA TURÍSTICA DE PEREIRA BARRETO, por meio da Secretaria de Turismo e Cultura, to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rna público, para conhecimento dos interessados, que estará aberto, no dia 29 de outubro de 2026, o processo de habilitação destinado ao credenciamento de lanchonetes, trailers e estabelecimentos similares para instalação de comércio itinerante na Praia Mu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nicipal, no </w:t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</w:rPr>
        <w:t xml:space="preserve">fer</w:t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</w:rPr>
        <w:t xml:space="preserve">i</w:t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</w:rPr>
        <w:t xml:space="preserve">ado prolongado de 30 de outubro de 2026 a 02 de novembro de 2026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, com a finalidade de promover a gastronomia local, o turismo e a economia criativa do município, na forma, condições e especificações estabelecidas neste Edital e seus anexos.</w:t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Style w:val="846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  <w:t xml:space="preserve">1. DO OBJETO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jc w:val="both"/>
        <w:rPr/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Este edital tem por objeto a seleção e o credenciamento de trailers, lanchonetes e estabelecimentos similares para instalação de c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omércio itinerante e comercialização de alimentos e bebidas na Praia Municipal de Pereira Barreto, no período de 30 de outubro de 2026 a 02 de novembro de 2026, com a finalidade de promover a gastronomia local, o turismo e a economia criativa do município.</w:t>
      </w:r>
      <w:r>
        <w:rPr>
          <w:szCs w:val="24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jc w:val="both"/>
        <w:rPr>
          <w:szCs w:val="24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  <w:t xml:space="preserve">1.1.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Os participantes habilitados deverão disponibilizar para comercialização </w:t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  <w:t xml:space="preserve">tanto alimentos quanto bebidas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.</w:t>
      </w:r>
      <w:r>
        <w:rPr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jc w:val="both"/>
        <w:rPr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  <w:t xml:space="preserve">1.2.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A comercialização deverá observar as normas sanitárias, de segurança, de defesa do consumidor e demais normas municipais aplicáveis.</w:t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Style w:val="846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/>
      </w:pPr>
      <w:r>
        <w:rPr>
          <w:rFonts w:ascii="Times New Roman" w:hAnsi="Times New Roman" w:eastAsia="Times New Roman" w:cs="Times New Roman"/>
          <w:b/>
          <w:color w:val="000000"/>
          <w:sz w:val="28"/>
        </w:rPr>
        <w:t xml:space="preserve">2. DO PÚBLICO-ALVO</w:t>
      </w:r>
      <w:r/>
    </w:p>
    <w:p>
      <w:pPr>
        <w:pBdr/>
        <w:spacing/>
        <w:ind/>
        <w:rPr/>
      </w:pPr>
      <w:r/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jc w:val="both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Poderão participar do presente chamamento público trailers, lanchonetes, estabelecimentos similares, associações ou entidades sem fins lucrativos, reg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ularmente constituídos ou legalmente estabelecidos, que tenham interesse em comercializar alimentos e bebidas durante o PERÍODO DE FERIADO PROLONGADO NA PRAIA MUNICIPAL, desde que atendam integralmente aos requisitos e condições estabelecidos neste edital.</w:t>
      </w:r>
      <w:r>
        <w:rPr>
          <w:rFonts w:ascii="Times New Roman" w:hAnsi="Times New Roman" w:eastAsia="Times New Roman" w:cs="Times New Roman"/>
          <w:color w:val="000000"/>
          <w:sz w:val="24"/>
        </w:rPr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jc w:val="both"/>
        <w:rPr/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2.1. As associações ou entidades interessadas poderão participa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r do período de funcionamento mediante prévia habilitação, observadas as mesmas condições de segurança, higiene, organização, funcionamento, comercialização de alimentos e bebidas e demais obrigações estabelecidas neste edital para os demais participantes.</w:t>
      </w:r>
      <w:r>
        <w:rPr>
          <w:rFonts w:ascii="Times New Roman" w:hAnsi="Times New Roman" w:eastAsia="Times New Roman" w:cs="Times New Roman"/>
          <w:color w:val="000000"/>
          <w:sz w:val="24"/>
        </w:rPr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jc w:val="both"/>
        <w:rPr/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2.2.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As entidades e associações sem fins lucrativos participantes ficam 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isentas do pagamento da taxa de participação eventualmente prevista para os demais participantes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, sem que essa isenção implique dispensa do cumprimento de qualquer outra obrigação, exigência, autorização, documentação ou condição estabelecida neste edital.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jc w:val="both"/>
        <w:rPr>
          <w:rFonts w:ascii="Times New Roman" w:hAnsi="Times New Roman" w:eastAsia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2.3. Os interessados deverão possuir estrutura e condições para comercialização de alimentos e bebidas, compatíveis com o porte e as características do período de funcionamento.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Style w:val="846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  <w:t xml:space="preserve">3. DA HABILITAÇÃO E DOCUMENTAÇÃO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/>
        <w:spacing/>
        <w:ind/>
        <w:rPr/>
      </w:pPr>
      <w:r/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jc w:val="both"/>
        <w:rPr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Os interessados deverão apresentar, até a data limite prevista neste edital, os seguintes documentos:</w:t>
      </w:r>
      <w:r>
        <w:rPr>
          <w:szCs w:val="24"/>
        </w:rPr>
      </w:r>
      <w:r>
        <w:rPr>
          <w:szCs w:val="24"/>
        </w:rPr>
      </w:r>
    </w:p>
    <w:p>
      <w:pPr>
        <w:pStyle w:val="906"/>
        <w:numPr>
          <w:ilvl w:val="0"/>
          <w:numId w:val="6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jc w:val="both"/>
        <w:rPr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Requerimento de habilitação preenchido e assinado;</w:t>
      </w:r>
      <w:r>
        <w:rPr>
          <w:szCs w:val="24"/>
        </w:rPr>
      </w:r>
      <w:r>
        <w:rPr>
          <w:szCs w:val="24"/>
        </w:rPr>
      </w:r>
    </w:p>
    <w:p>
      <w:pPr>
        <w:pStyle w:val="906"/>
        <w:numPr>
          <w:ilvl w:val="0"/>
          <w:numId w:val="6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jc w:val="both"/>
        <w:rPr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Cópia do CNPJ ou CPF do titular/empresa;</w:t>
      </w:r>
      <w:r>
        <w:rPr>
          <w:szCs w:val="24"/>
        </w:rPr>
      </w:r>
      <w:r>
        <w:rPr>
          <w:szCs w:val="24"/>
        </w:rPr>
      </w:r>
    </w:p>
    <w:p>
      <w:pPr>
        <w:pStyle w:val="906"/>
        <w:numPr>
          <w:ilvl w:val="0"/>
          <w:numId w:val="6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jc w:val="both"/>
        <w:rPr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Fotografia ou layout da instalação proposta (tenda/trailer/lanchonete) e respectivo dimensional;</w:t>
      </w:r>
      <w:r>
        <w:rPr>
          <w:szCs w:val="24"/>
        </w:rPr>
      </w:r>
      <w:r>
        <w:rPr>
          <w:szCs w:val="24"/>
        </w:rPr>
      </w:r>
    </w:p>
    <w:p>
      <w:pPr>
        <w:pStyle w:val="906"/>
        <w:numPr>
          <w:ilvl w:val="0"/>
          <w:numId w:val="6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jc w:val="both"/>
        <w:rPr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Certidão Negativa de Débitos Municipais;</w:t>
      </w:r>
      <w:r>
        <w:rPr>
          <w:szCs w:val="24"/>
        </w:rPr>
      </w:r>
      <w:r>
        <w:rPr>
          <w:szCs w:val="24"/>
        </w:rPr>
      </w:r>
    </w:p>
    <w:p>
      <w:pPr>
        <w:pStyle w:val="906"/>
        <w:numPr>
          <w:ilvl w:val="0"/>
          <w:numId w:val="6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jc w:val="both"/>
        <w:rPr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Declaração dos equipamentos elétricos que serão utilizados, com suas respectivas cargas amperagens e voltagens;</w:t>
      </w:r>
      <w:r>
        <w:rPr>
          <w:szCs w:val="24"/>
        </w:rPr>
      </w:r>
      <w:r>
        <w:rPr>
          <w:szCs w:val="24"/>
        </w:rPr>
      </w:r>
    </w:p>
    <w:p>
      <w:pPr>
        <w:pStyle w:val="906"/>
        <w:numPr>
          <w:ilvl w:val="0"/>
          <w:numId w:val="6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jc w:val="both"/>
        <w:rPr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Documentação e autorizações exigidas pelos órgãos competentes, quando aplicáveis.</w:t>
      </w:r>
      <w:r>
        <w:rPr>
          <w:szCs w:val="24"/>
        </w:rPr>
      </w:r>
      <w:r>
        <w:rPr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Style w:val="846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  <w:t xml:space="preserve">4. DA SELEÇÃO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/>
        <w:spacing/>
        <w:ind/>
        <w:rPr/>
      </w:pPr>
      <w:r/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jc w:val="both"/>
        <w:rPr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A seleção levará em conta:</w:t>
      </w:r>
      <w:r>
        <w:rPr>
          <w:szCs w:val="24"/>
        </w:rPr>
      </w:r>
      <w:r>
        <w:rPr>
          <w:szCs w:val="24"/>
        </w:rPr>
      </w:r>
    </w:p>
    <w:p>
      <w:pPr>
        <w:pStyle w:val="906"/>
        <w:numPr>
          <w:ilvl w:val="0"/>
          <w:numId w:val="7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jc w:val="both"/>
        <w:rPr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Atendimento às exigências legais e de higiene;</w:t>
      </w:r>
      <w:r>
        <w:rPr>
          <w:szCs w:val="24"/>
        </w:rPr>
      </w:r>
      <w:r>
        <w:rPr>
          <w:szCs w:val="24"/>
        </w:rPr>
      </w:r>
    </w:p>
    <w:p>
      <w:pPr>
        <w:pStyle w:val="906"/>
        <w:numPr>
          <w:ilvl w:val="0"/>
          <w:numId w:val="7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jc w:val="both"/>
        <w:rPr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Qualidade e diversidade do cardápio;</w:t>
      </w:r>
      <w:r>
        <w:rPr>
          <w:szCs w:val="24"/>
        </w:rPr>
      </w:r>
      <w:r>
        <w:rPr>
          <w:szCs w:val="24"/>
        </w:rPr>
      </w:r>
    </w:p>
    <w:p>
      <w:pPr>
        <w:pStyle w:val="906"/>
        <w:numPr>
          <w:ilvl w:val="0"/>
          <w:numId w:val="7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jc w:val="both"/>
        <w:rPr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Oferta de </w:t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  <w:t xml:space="preserve">alimentos e bebidas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, observando-se a variedade dos produtos comercializados;</w:t>
      </w:r>
      <w:r>
        <w:rPr>
          <w:szCs w:val="24"/>
        </w:rPr>
      </w:r>
      <w:r>
        <w:rPr>
          <w:szCs w:val="24"/>
        </w:rPr>
      </w:r>
    </w:p>
    <w:p>
      <w:pPr>
        <w:pStyle w:val="906"/>
        <w:numPr>
          <w:ilvl w:val="0"/>
          <w:numId w:val="7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jc w:val="both"/>
        <w:rPr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Infraestrutura e segurança da estrutura apresentada;</w:t>
      </w:r>
      <w:r>
        <w:rPr>
          <w:szCs w:val="24"/>
        </w:rPr>
      </w:r>
      <w:r>
        <w:rPr>
          <w:szCs w:val="24"/>
        </w:rPr>
      </w:r>
    </w:p>
    <w:p>
      <w:pPr>
        <w:pStyle w:val="906"/>
        <w:numPr>
          <w:ilvl w:val="0"/>
          <w:numId w:val="7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jc w:val="both"/>
        <w:rPr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Capacidade de atendimento;</w:t>
      </w:r>
      <w:r>
        <w:rPr>
          <w:szCs w:val="24"/>
        </w:rPr>
      </w:r>
      <w:r>
        <w:rPr>
          <w:szCs w:val="24"/>
        </w:rPr>
      </w:r>
    </w:p>
    <w:p>
      <w:pPr>
        <w:pStyle w:val="906"/>
        <w:numPr>
          <w:ilvl w:val="0"/>
          <w:numId w:val="7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jc w:val="both"/>
        <w:rPr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Contribuição para o evento, especialmente quanto aos horários, capacidade de atendimento e respeito às normas municipais;</w:t>
      </w:r>
      <w:r>
        <w:rPr>
          <w:szCs w:val="24"/>
        </w:rPr>
      </w:r>
      <w:r>
        <w:rPr>
          <w:szCs w:val="24"/>
        </w:rPr>
      </w:r>
    </w:p>
    <w:p>
      <w:pPr>
        <w:pStyle w:val="906"/>
        <w:numPr>
          <w:ilvl w:val="0"/>
          <w:numId w:val="7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jc w:val="both"/>
        <w:rPr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Comprovação de residência no Município de Pereira Barreto, quando aplicável;</w:t>
      </w:r>
      <w:r>
        <w:rPr>
          <w:szCs w:val="24"/>
        </w:rPr>
      </w:r>
      <w:r>
        <w:rPr>
          <w:szCs w:val="24"/>
        </w:rPr>
      </w:r>
    </w:p>
    <w:p>
      <w:pPr>
        <w:pStyle w:val="906"/>
        <w:numPr>
          <w:ilvl w:val="0"/>
          <w:numId w:val="7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jc w:val="both"/>
        <w:rPr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Regularidade perante o Município de Pereira Barreto.</w:t>
      </w:r>
      <w:r>
        <w:rPr>
          <w:szCs w:val="24"/>
        </w:rPr>
      </w:r>
      <w:r>
        <w:rPr>
          <w:szCs w:val="24"/>
        </w:rPr>
      </w:r>
    </w:p>
    <w:p>
      <w:pPr>
        <w:pStyle w:val="906"/>
        <w:numPr>
          <w:ilvl w:val="0"/>
          <w:numId w:val="7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Participação de entidades e associações sem fins lucrativos, desde que devidamente habilitadas e em igualdade de condições quanto às exigências de higiene, segurança, estrutura e comercialização de alimentos e bebidas</w:t>
      </w:r>
      <w:r>
        <w:t xml:space="preserve">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jc w:val="both"/>
        <w:rPr>
          <w:szCs w:val="24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  <w:t xml:space="preserve">4.1.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Estará impedida de participar do chamamento público a empresa ou pessoa que estiver em débito ou em situação irregular com quaisquer tributos municipais, taxas e contribuições devidas à Prefeitura Municipal.</w:t>
      </w:r>
      <w:r>
        <w:rPr>
          <w:szCs w:val="24"/>
        </w:rPr>
      </w:r>
      <w:r>
        <w:rPr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jc w:val="both"/>
        <w:rPr>
          <w:szCs w:val="24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  <w:t xml:space="preserve">4.2. Não serão aceitas estruturas, equipamentos, materiais, trajes ou acessórios que possam colocar em risco a segurança do público, dos trabalhadores ou dos demais participantes do período de funcionamento.</w:t>
      </w:r>
      <w:r>
        <w:rPr>
          <w:szCs w:val="24"/>
        </w:rPr>
      </w:r>
      <w:r>
        <w:rPr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jc w:val="both"/>
        <w:rPr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  <w:t xml:space="preserve">4.3.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O resultado da seleção será divulgado no site oficial da Prefeitura Municipal de Pereira Barreto.</w:t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Style w:val="846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  <w:t xml:space="preserve">5. DAS CONDIÇÕES TÉCNICAS E OPERACIONAIS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/>
        <w:spacing/>
        <w:ind/>
        <w:rPr/>
      </w:pPr>
      <w:r/>
      <w:r/>
    </w:p>
    <w:p>
      <w:pPr>
        <w:pStyle w:val="906"/>
        <w:numPr>
          <w:ilvl w:val="0"/>
          <w:numId w:val="8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jc w:val="both"/>
        <w:rPr>
          <w:szCs w:val="24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  <w:t xml:space="preserve">Localização: Praia Municipal, conforme orientação da secretaria;</w:t>
      </w:r>
      <w:r>
        <w:rPr>
          <w:szCs w:val="24"/>
        </w:rPr>
      </w:r>
      <w:r>
        <w:rPr>
          <w:szCs w:val="24"/>
        </w:rPr>
      </w:r>
    </w:p>
    <w:p>
      <w:pPr>
        <w:pStyle w:val="906"/>
        <w:numPr>
          <w:ilvl w:val="0"/>
          <w:numId w:val="8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jc w:val="both"/>
        <w:rPr>
          <w:szCs w:val="24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  <w:t xml:space="preserve">Datas do período de funcionamento: 30 de outubro a 02 de novembro de 2026;</w:t>
      </w:r>
      <w:r>
        <w:rPr>
          <w:szCs w:val="24"/>
        </w:rPr>
      </w:r>
      <w:r>
        <w:rPr>
          <w:szCs w:val="24"/>
        </w:rPr>
      </w:r>
    </w:p>
    <w:p>
      <w:pPr>
        <w:pStyle w:val="906"/>
        <w:numPr>
          <w:ilvl w:val="0"/>
          <w:numId w:val="8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jc w:val="both"/>
        <w:rPr>
          <w:szCs w:val="24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  <w:t xml:space="preserve">Horário de funcionamento: conforme autorização e orientações da Secretaria Municipal de Turismo e Cultura;</w:t>
      </w:r>
      <w:r>
        <w:rPr>
          <w:szCs w:val="24"/>
        </w:rPr>
      </w:r>
      <w:r>
        <w:rPr>
          <w:szCs w:val="24"/>
        </w:rPr>
      </w:r>
    </w:p>
    <w:p>
      <w:pPr>
        <w:pStyle w:val="906"/>
        <w:numPr>
          <w:ilvl w:val="0"/>
          <w:numId w:val="8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jc w:val="both"/>
        <w:rPr>
          <w:szCs w:val="24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  <w:t xml:space="preserve">Infraestrutura: a disponibilização de espaço e eventuais pontos de água e energia elétrica dependerá de avaliação e autorização expressa do Município, observadas as condições existentes na Praia Municipal;</w:t>
      </w:r>
      <w:r>
        <w:rPr>
          <w:szCs w:val="24"/>
        </w:rPr>
      </w:r>
      <w:r>
        <w:rPr>
          <w:szCs w:val="24"/>
        </w:rPr>
      </w:r>
    </w:p>
    <w:p>
      <w:pPr>
        <w:pStyle w:val="906"/>
        <w:numPr>
          <w:ilvl w:val="0"/>
          <w:numId w:val="8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jc w:val="both"/>
        <w:rPr>
          <w:szCs w:val="24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  <w:t xml:space="preserve">Responsabilidade de cada participante: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cada titular será integralmente responsável pela operação e montagem de sua estrutura, incluindo tendas, trailers e demais equipamentos necessários à comercialização;</w:t>
      </w:r>
      <w:r>
        <w:rPr>
          <w:szCs w:val="24"/>
        </w:rPr>
      </w:r>
      <w:r>
        <w:rPr>
          <w:szCs w:val="24"/>
        </w:rPr>
      </w:r>
    </w:p>
    <w:p>
      <w:pPr>
        <w:pStyle w:val="906"/>
        <w:numPr>
          <w:ilvl w:val="0"/>
          <w:numId w:val="8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jc w:val="both"/>
        <w:rPr>
          <w:szCs w:val="24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  <w:t xml:space="preserve">Mesas e cadeiras: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  <w:t xml:space="preserve">a Prefeitura Municipal não fornecerá mesas e cadeiras aos participantes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, cabendo exclusivamente a cada empresa ou interessado habilitado providenciar, transportar, montar, conservar e retirar as mesas e cadeiras que forem necessárias ao atendimento de seus clientes;</w:t>
      </w:r>
      <w:r>
        <w:rPr>
          <w:szCs w:val="24"/>
        </w:rPr>
      </w:r>
      <w:r>
        <w:rPr>
          <w:szCs w:val="24"/>
        </w:rPr>
      </w:r>
    </w:p>
    <w:p>
      <w:pPr>
        <w:pStyle w:val="906"/>
        <w:numPr>
          <w:ilvl w:val="0"/>
          <w:numId w:val="8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jc w:val="both"/>
        <w:rPr>
          <w:szCs w:val="24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  <w:t xml:space="preserve">Higiene e limpeza: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cada participante será responsável pela higiene, limpeza, organização e conservação de sua área de atuação, bem como pelo adequado descarte dos resíduos produzidos;</w:t>
      </w:r>
      <w:r>
        <w:rPr>
          <w:szCs w:val="24"/>
        </w:rPr>
      </w:r>
      <w:r>
        <w:rPr>
          <w:szCs w:val="24"/>
        </w:rPr>
      </w:r>
    </w:p>
    <w:p>
      <w:pPr>
        <w:pStyle w:val="906"/>
        <w:numPr>
          <w:ilvl w:val="0"/>
          <w:numId w:val="8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jc w:val="both"/>
        <w:rPr>
          <w:szCs w:val="24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  <w:t xml:space="preserve">Responsabilidade pelos clientes: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cada participante será responsável pela integridade e segurança de seus clientes dentro de sua estrutura e área de atendimento;</w:t>
      </w:r>
      <w:r>
        <w:rPr>
          <w:szCs w:val="24"/>
        </w:rPr>
      </w:r>
      <w:r>
        <w:rPr>
          <w:szCs w:val="24"/>
        </w:rPr>
      </w:r>
    </w:p>
    <w:p>
      <w:pPr>
        <w:pStyle w:val="906"/>
        <w:numPr>
          <w:ilvl w:val="0"/>
          <w:numId w:val="8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jc w:val="both"/>
        <w:rPr>
          <w:szCs w:val="24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  <w:t xml:space="preserve">Comercialização: os participantes deverão disponibilizar alimentos e bebidas para comercialização durante o período autorizado, sendo vedada a participação destinada exclusivamente à comercialização de bebidas;</w:t>
      </w:r>
      <w:r>
        <w:rPr>
          <w:szCs w:val="24"/>
        </w:rPr>
      </w:r>
      <w:r>
        <w:rPr>
          <w:szCs w:val="24"/>
        </w:rPr>
      </w:r>
    </w:p>
    <w:p>
      <w:pPr>
        <w:pStyle w:val="906"/>
        <w:numPr>
          <w:ilvl w:val="0"/>
          <w:numId w:val="8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jc w:val="both"/>
        <w:rPr>
          <w:szCs w:val="24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  <w:t xml:space="preserve">Proibição: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venda de bebidas alcoólicas para menores de idade; comercialização de produtos não autorizados pela organização; utilização de equipamentos ou estruturas que ofereçam risco à segurança; e uso de geradores sem autorização prévia da organização.</w:t>
      </w:r>
      <w:r>
        <w:rPr>
          <w:szCs w:val="24"/>
        </w:rPr>
      </w:r>
      <w:r>
        <w:rPr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jc w:val="both"/>
        <w:rPr>
          <w:szCs w:val="24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  <w:t xml:space="preserve">5.1. A disposição das mesas e cadeiras deverá respeitar os espaços destinados à circulação do público, rotas de emergência, acessos e demais orientações da organização do período de funcionamento.</w:t>
      </w:r>
      <w:r>
        <w:rPr>
          <w:szCs w:val="24"/>
        </w:rPr>
      </w:r>
      <w:r>
        <w:rPr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jc w:val="both"/>
        <w:rPr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  <w:t xml:space="preserve">5.2.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A Prefeitura Municipal não se responsabilizará pelo fornecimento, guarda, montagem, desmontagem ou conservação das mesas, cadeiras e demais equipamentos particulares utilizados pelos participantes.</w:t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jc w:val="both"/>
        <w:rPr/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5.3.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</w:t>
      </w:r>
      <w:r/>
      <w:r>
        <w:rPr>
          <w:rFonts w:ascii="Times New Roman" w:hAnsi="Times New Roman" w:eastAsia="Times New Roman" w:cs="Times New Roman"/>
          <w:color w:val="000000"/>
          <w:sz w:val="24"/>
        </w:rPr>
        <w:t xml:space="preserve">A isenção da taxa de participação não confere qualquer vantagem ou dispensa quanto às exigências sanitárias, de segurança, de organização, de funcionamento ou de comercialização estabelecidas pela Prefeitura Municipal e pelos órgãos competentes.</w:t>
      </w:r>
      <w:r/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jc w:val="both"/>
        <w:rPr>
          <w:sz w:val="24"/>
          <w:szCs w:val="24"/>
          <w:highlight w:val="none"/>
        </w:rPr>
      </w:pP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pStyle w:val="846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  <w:t xml:space="preserve">6. DA REGULARIZAÇÃO SANITÁRIA E DE SEGURANÇA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/>
        <w:spacing/>
        <w:ind/>
        <w:rPr/>
      </w:pPr>
      <w:r/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jc w:val="both"/>
        <w:rPr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Os interessados deverão cumprir integralmente as normas da </w:t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  <w:t xml:space="preserve">Vigilância Sanitária, Corpo de Bombeiros e demais órgãos competentes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.</w:t>
      </w:r>
      <w:r>
        <w:rPr>
          <w:szCs w:val="24"/>
        </w:rPr>
      </w:r>
      <w:r>
        <w:rPr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jc w:val="both"/>
        <w:rPr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É obrigatório apresentar documentação atualizada e com validade para o período do período de funcionamento, quando exigível.</w:t>
      </w:r>
      <w:r>
        <w:rPr>
          <w:szCs w:val="24"/>
        </w:rPr>
      </w:r>
      <w:r>
        <w:rPr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jc w:val="both"/>
        <w:rPr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As medidas relativas à higiene, armazenamento, conservação e temperatura dos alimentos, higiene dos utensílios, limpeza das áreas de preparo e descarte dos resíduos deverão ser observadas durante todo o período de funcionamento.</w:t>
      </w:r>
      <w:r>
        <w:rPr>
          <w:szCs w:val="24"/>
        </w:rPr>
      </w:r>
      <w:r>
        <w:rPr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jc w:val="both"/>
        <w:rPr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Os participantes deverão manter seus equipamentos e instalações em condições adequadas de higiene, segurança e funcionamento.</w:t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Style w:val="846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  <w:t xml:space="preserve">7. DA INSCRIÇÃO E ENVIO DE DOCUMENTOS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/>
        <w:spacing/>
        <w:ind/>
        <w:rPr/>
      </w:pPr>
      <w:r/>
      <w:r/>
    </w:p>
    <w:p>
      <w:pPr>
        <w:pStyle w:val="906"/>
        <w:numPr>
          <w:ilvl w:val="0"/>
          <w:numId w:val="9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jc w:val="both"/>
        <w:rPr>
          <w:szCs w:val="24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  <w:t xml:space="preserve">Período de inscrição: 29/10/2026;</w:t>
      </w:r>
      <w:r>
        <w:rPr>
          <w:szCs w:val="24"/>
        </w:rPr>
      </w:r>
      <w:r>
        <w:rPr>
          <w:szCs w:val="24"/>
        </w:rPr>
      </w:r>
    </w:p>
    <w:p>
      <w:pPr>
        <w:pStyle w:val="906"/>
        <w:numPr>
          <w:ilvl w:val="0"/>
          <w:numId w:val="9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jc w:val="both"/>
        <w:rPr>
          <w:szCs w:val="24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  <w:t xml:space="preserve">Forma de envio: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entrega da documentação no setor de Protocolo da Prefeitura Municipal de Pereira Barreto;</w:t>
      </w:r>
      <w:r>
        <w:rPr>
          <w:szCs w:val="24"/>
        </w:rPr>
      </w:r>
      <w:r>
        <w:rPr>
          <w:szCs w:val="24"/>
        </w:rPr>
      </w:r>
    </w:p>
    <w:p>
      <w:pPr>
        <w:pStyle w:val="906"/>
        <w:numPr>
          <w:ilvl w:val="0"/>
          <w:numId w:val="9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jc w:val="both"/>
        <w:rPr>
          <w:szCs w:val="24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  <w:t xml:space="preserve">Prazo de validade das propostas: as propostas serão válidas exclusivamente para o período de 30 de outubro a 02 de novembro de 2026 na Praia Municipal.</w:t>
      </w:r>
      <w:r>
        <w:rPr>
          <w:szCs w:val="24"/>
        </w:rPr>
      </w:r>
      <w:r>
        <w:rPr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Style w:val="905"/>
        <w:pBdr/>
        <w:spacing/>
        <w:ind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highlight w:val="none"/>
        </w:rPr>
        <w:t xml:space="preserve">8.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DA TAXA DE OCUPAÇÃO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, RESTITUIÇÃO DE ENERGIA ELÉTRICA E COMÉRCIO AMBULANTE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</w:r>
      <w:r>
        <w:rPr>
          <w:rFonts w:ascii="Times New Roman" w:hAnsi="Times New Roman" w:cs="Times New Roman"/>
          <w:b/>
          <w:bCs/>
          <w:sz w:val="24"/>
          <w:szCs w:val="24"/>
        </w:rPr>
      </w:r>
    </w:p>
    <w:p>
      <w:pPr>
        <w:pStyle w:val="846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</w:r>
      <w:r>
        <w:rPr>
          <w:rFonts w:ascii="Times New Roman" w:hAnsi="Times New Roman" w:cs="Times New Roman"/>
          <w:b/>
          <w:bCs/>
          <w:sz w:val="24"/>
          <w:szCs w:val="24"/>
        </w:rPr>
      </w:r>
    </w:p>
    <w:p>
      <w:pPr>
        <w:pStyle w:val="905"/>
        <w:pBdr/>
        <w:spacing/>
        <w:ind w:right="0" w:firstLine="1701"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905"/>
        <w:pBdr/>
        <w:spacing/>
        <w:ind w:right="0" w:firstLine="0"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8.1. Entidades sem fins lucrativos: ocupação totalmente gratuita, mediante comprovação de sua natureza jurídica.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905"/>
        <w:pBdr/>
        <w:spacing/>
        <w:ind w:right="0" w:firstLine="0"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905"/>
        <w:pBdr/>
        <w:spacing/>
        <w:ind w:right="0" w:firstLine="0"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8.2. Comerciantes: pagamento de taxa de ocupação no valor de R$ 7,46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(sete reais e quarenta e seis centavos) por metro quadrado, de restituição de energia elétrica conforme declaração de demanda (anexo 1), e se o caso, de comércio ambulante, no valor de R$ 68,00 (sessenta e oito reais) ao dia, calculadas da seguinte forma: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905"/>
        <w:pBdr/>
        <w:spacing/>
        <w:ind w:right="0" w:firstLine="0"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tbl>
      <w:tblPr>
        <w:tblStyle w:val="718"/>
        <w:tblW w:w="0" w:type="auto"/>
        <w:tblInd w:w="1701" w:type="dxa"/>
        <w:tblBorders/>
        <w:tblLayout w:type="fixed"/>
        <w:tblLook w:val="04A0" w:firstRow="1" w:lastRow="0" w:firstColumn="1" w:lastColumn="0" w:noHBand="0" w:noVBand="1"/>
      </w:tblPr>
      <w:tblGrid>
        <w:gridCol w:w="3685"/>
        <w:gridCol w:w="3118"/>
      </w:tblGrid>
      <w:tr>
        <w:trPr>
          <w:trHeight w:val="0"/>
        </w:trPr>
        <w:tc>
          <w:tcPr>
            <w:tcBorders/>
            <w:tcW w:w="3685" w:type="dxa"/>
            <w:textDirection w:val="lrTb"/>
            <w:noWrap w:val="false"/>
          </w:tcPr>
          <w:p>
            <w:pPr>
              <w:pStyle w:val="905"/>
              <w:pBdr/>
              <w:spacing/>
              <w:ind w:right="0" w:firstLine="0"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Metragem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</w:r>
          </w:p>
        </w:tc>
        <w:tc>
          <w:tcPr>
            <w:tcBorders/>
            <w:tcW w:w="3118" w:type="dxa"/>
            <w:textDirection w:val="lrTb"/>
            <w:noWrap w:val="false"/>
          </w:tcPr>
          <w:p>
            <w:pPr>
              <w:pStyle w:val="905"/>
              <w:pBdr/>
              <w:spacing/>
              <w:ind w:right="0" w:firstLine="0"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 Valor total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</w:r>
          </w:p>
        </w:tc>
      </w:tr>
      <w:tr>
        <w:trPr/>
        <w:tc>
          <w:tcPr>
            <w:tcBorders/>
            <w:tcW w:w="3685" w:type="dxa"/>
            <w:vMerge w:val="restart"/>
            <w:textDirection w:val="lrTb"/>
            <w:noWrap w:val="false"/>
          </w:tcPr>
          <w:p>
            <w:pPr>
              <w:pStyle w:val="905"/>
              <w:pBdr/>
              <w:spacing/>
              <w:ind w:right="0" w:firstLine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1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m²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/>
            <w:tcW w:w="3118" w:type="dxa"/>
            <w:vMerge w:val="restart"/>
            <w:textDirection w:val="lrTb"/>
            <w:noWrap w:val="false"/>
          </w:tcPr>
          <w:p>
            <w:pPr>
              <w:pBdr/>
              <w:shd w:val="nil" w:color="000000"/>
              <w:spacing/>
              <w:ind w:right="0" w:firstLine="0" w:left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R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$ 7,46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  <w14:ligatures w14:val="none"/>
              </w:rPr>
            </w:r>
          </w:p>
        </w:tc>
      </w:tr>
      <w:tr>
        <w:trPr>
          <w:trHeight w:val="238"/>
        </w:trPr>
        <w:tc>
          <w:tcPr>
            <w:tcBorders/>
            <w:tcW w:w="3685" w:type="dxa"/>
            <w:vMerge w:val="restart"/>
            <w:textDirection w:val="lrTb"/>
            <w:noWrap w:val="false"/>
          </w:tcPr>
          <w:p>
            <w:pPr>
              <w:pBdr/>
              <w:spacing/>
              <w:ind w:right="0" w:firstLine="0" w:left="0"/>
              <w:rPr/>
            </w:pPr>
            <w:r/>
            <w:r/>
          </w:p>
        </w:tc>
        <w:tc>
          <w:tcPr>
            <w:tcBorders/>
            <w:tcW w:w="3118" w:type="dxa"/>
            <w:vMerge w:val="restart"/>
            <w:textDirection w:val="lrTb"/>
            <w:noWrap w:val="false"/>
          </w:tcPr>
          <w:p>
            <w:pPr>
              <w:pBdr/>
              <w:spacing/>
              <w:ind w:right="0" w:firstLine="0" w:left="0"/>
              <w:rPr/>
            </w:pPr>
            <w:r/>
            <w:r/>
          </w:p>
        </w:tc>
      </w:tr>
    </w:tbl>
    <w:p>
      <w:pPr>
        <w:pStyle w:val="905"/>
        <w:pBdr/>
        <w:spacing/>
        <w:ind w:right="0" w:firstLine="0"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tbl>
      <w:tblPr>
        <w:tblStyle w:val="718"/>
        <w:tblW w:w="0" w:type="auto"/>
        <w:tblInd w:w="1701" w:type="dxa"/>
        <w:tblBorders/>
        <w:tblLayout w:type="fixed"/>
        <w:tblLook w:val="04A0" w:firstRow="1" w:lastRow="0" w:firstColumn="1" w:lastColumn="0" w:noHBand="0" w:noVBand="1"/>
      </w:tblPr>
      <w:tblGrid>
        <w:gridCol w:w="2976"/>
        <w:gridCol w:w="1417"/>
        <w:gridCol w:w="2409"/>
      </w:tblGrid>
      <w:tr>
        <w:trPr>
          <w:trHeight w:val="0"/>
        </w:trPr>
        <w:tc>
          <w:tcPr>
            <w:tcBorders/>
            <w:tcW w:w="2976" w:type="dxa"/>
            <w:textDirection w:val="lrTb"/>
            <w:noWrap w:val="false"/>
          </w:tcPr>
          <w:p>
            <w:pPr>
              <w:pStyle w:val="905"/>
              <w:pBdr/>
              <w:spacing/>
              <w:ind w:right="0" w:firstLine="0" w:left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Demanda 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(Kw/hora)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</w:r>
          </w:p>
        </w:tc>
        <w:tc>
          <w:tcPr>
            <w:tcBorders/>
            <w:tcW w:w="1417" w:type="dxa"/>
            <w:textDirection w:val="lrTb"/>
            <w:noWrap w:val="false"/>
          </w:tcPr>
          <w:p>
            <w:pPr>
              <w:pStyle w:val="905"/>
              <w:pBdr/>
              <w:spacing/>
              <w:ind w:right="0" w:firstLine="0"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Horas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2409" w:type="dxa"/>
            <w:textDirection w:val="lrTb"/>
            <w:noWrap w:val="false"/>
          </w:tcPr>
          <w:p>
            <w:pPr>
              <w:pStyle w:val="905"/>
              <w:pBdr/>
              <w:spacing/>
              <w:ind w:right="0" w:firstLine="0"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 Valor total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</w:r>
          </w:p>
        </w:tc>
      </w:tr>
      <w:tr>
        <w:trPr/>
        <w:tc>
          <w:tcPr>
            <w:tcBorders/>
            <w:tcW w:w="2976" w:type="dxa"/>
            <w:vMerge w:val="restart"/>
            <w:textDirection w:val="lrTb"/>
            <w:noWrap w:val="false"/>
          </w:tcPr>
          <w:p>
            <w:pPr>
              <w:pStyle w:val="905"/>
              <w:pBdr/>
              <w:spacing/>
              <w:ind w:right="0" w:firstLine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Constante da Declaração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/>
            <w:tcW w:w="1417" w:type="dxa"/>
            <w:textDirection w:val="lrTb"/>
            <w:noWrap w:val="false"/>
          </w:tcPr>
          <w:p>
            <w:pPr>
              <w:pStyle w:val="905"/>
              <w:pBdr/>
              <w:spacing/>
              <w:ind w:right="0" w:firstLine="0" w:left="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Máximo 30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  <w:tc>
          <w:tcPr>
            <w:tcBorders/>
            <w:tcW w:w="2409" w:type="dxa"/>
            <w:vMerge w:val="restart"/>
            <w:textDirection w:val="lrTb"/>
            <w:noWrap w:val="false"/>
          </w:tcPr>
          <w:p>
            <w:pPr>
              <w:pStyle w:val="905"/>
              <w:pBdr/>
              <w:spacing/>
              <w:ind w:right="0" w:firstLine="0" w:left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A apurar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</w:tbl>
    <w:p>
      <w:pPr>
        <w:pStyle w:val="905"/>
        <w:pBdr/>
        <w:spacing/>
        <w:ind w:right="0" w:firstLine="0"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tbl>
      <w:tblPr>
        <w:tblStyle w:val="718"/>
        <w:tblW w:w="0" w:type="auto"/>
        <w:tblInd w:w="1701" w:type="dxa"/>
        <w:tblBorders/>
        <w:tblLayout w:type="fixed"/>
        <w:tblLook w:val="04A0" w:firstRow="1" w:lastRow="0" w:firstColumn="1" w:lastColumn="0" w:noHBand="0" w:noVBand="1"/>
      </w:tblPr>
      <w:tblGrid>
        <w:gridCol w:w="3685"/>
        <w:gridCol w:w="3118"/>
      </w:tblGrid>
      <w:tr>
        <w:trPr>
          <w:trHeight w:val="0"/>
        </w:trPr>
        <w:tc>
          <w:tcPr>
            <w:tcBorders/>
            <w:tcW w:w="3685" w:type="dxa"/>
            <w:textDirection w:val="lrTb"/>
            <w:noWrap w:val="false"/>
          </w:tcPr>
          <w:p>
            <w:pPr>
              <w:pStyle w:val="905"/>
              <w:pBdr/>
              <w:spacing/>
              <w:ind w:right="0" w:firstLine="0"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Ambulante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</w:r>
          </w:p>
        </w:tc>
        <w:tc>
          <w:tcPr>
            <w:tcBorders/>
            <w:tcW w:w="3118" w:type="dxa"/>
            <w:textDirection w:val="lrTb"/>
            <w:noWrap w:val="false"/>
          </w:tcPr>
          <w:p>
            <w:pPr>
              <w:pStyle w:val="905"/>
              <w:pBdr/>
              <w:spacing/>
              <w:ind w:right="0" w:firstLine="0"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 Valor por dia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</w:r>
          </w:p>
        </w:tc>
      </w:tr>
      <w:tr>
        <w:trPr/>
        <w:tc>
          <w:tcPr>
            <w:tcBorders/>
            <w:tcW w:w="3685" w:type="dxa"/>
            <w:vMerge w:val="restart"/>
            <w:textDirection w:val="lrTb"/>
            <w:noWrap w:val="false"/>
          </w:tcPr>
          <w:p>
            <w:pPr>
              <w:pStyle w:val="905"/>
              <w:pBdr/>
              <w:spacing/>
              <w:ind w:right="0" w:firstLine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Taxa de Ambulante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905"/>
              <w:pBdr/>
              <w:spacing/>
              <w:ind w:right="0" w:firstLine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Comércio de Alimentos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/>
            <w:tcW w:w="3118" w:type="dxa"/>
            <w:vMerge w:val="restart"/>
            <w:textDirection w:val="lrTb"/>
            <w:noWrap w:val="false"/>
          </w:tcPr>
          <w:p>
            <w:pPr>
              <w:pBdr/>
              <w:shd w:val="nil" w:color="000000"/>
              <w:spacing/>
              <w:ind w:right="0" w:firstLine="0" w:left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  <w14:ligatures w14:val="none"/>
              </w:rPr>
            </w:r>
          </w:p>
          <w:p>
            <w:pPr>
              <w:pBdr/>
              <w:shd w:val="nil" w:color="000000"/>
              <w:spacing/>
              <w:ind w:right="0" w:firstLine="0" w:left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R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$ 71,64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  <w14:ligatures w14:val="none"/>
              </w:rPr>
            </w:r>
          </w:p>
        </w:tc>
      </w:tr>
    </w:tbl>
    <w:p>
      <w:pPr>
        <w:pStyle w:val="905"/>
        <w:pBdr/>
        <w:spacing/>
        <w:ind w:right="0" w:firstLine="0"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905"/>
        <w:pBdr/>
        <w:tabs>
          <w:tab w:val="left" w:leader="none" w:pos="1901"/>
        </w:tabs>
        <w:spacing/>
        <w:ind w:right="0" w:firstLine="0"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8.2.1. O valor deverá ser pago à vista, por meio de guia própria emitida pelo Setor de Tributos da Municipalidade, antes do início da atividade comercial, sob pena de perda da autorização.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46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/>
          <w:bCs/>
        </w:rPr>
      </w:r>
      <w:r>
        <w:rPr>
          <w:rFonts w:ascii="Times New Roman" w:hAnsi="Times New Roman" w:cs="Times New Roman"/>
          <w:b/>
          <w:bCs/>
          <w:sz w:val="24"/>
          <w:szCs w:val="24"/>
        </w:rPr>
      </w:r>
    </w:p>
    <w:p>
      <w:pPr>
        <w:pStyle w:val="846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jc w:val="both"/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  <w:t xml:space="preserve">9. DO JULGAMENTO E CLASSIFICAÇÃO</w:t>
      </w:r>
      <w:r>
        <w:rPr>
          <w:sz w:val="24"/>
          <w:szCs w:val="24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highlight w:val="none"/>
        </w:rPr>
      </w:r>
    </w:p>
    <w:p>
      <w:pPr>
        <w:pBdr/>
        <w:spacing/>
        <w:ind/>
        <w:rPr/>
      </w:pPr>
      <w:r/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jc w:val="both"/>
        <w:rPr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A análise da documentação e a seleção dos participantes serão realizadas pela Comissão responsável pela avaliação.</w:t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jc w:val="both"/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</w:p>
    <w:p>
      <w:pPr>
        <w:pStyle w:val="846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jc w:val="both"/>
        <w:rPr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highlight w:val="white"/>
        </w:rPr>
        <w:t xml:space="preserve">Composição da Comissão</w:t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pStyle w:val="906"/>
        <w:numPr>
          <w:ilvl w:val="0"/>
          <w:numId w:val="10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themeColor="background1" w:fill="ffffff" w:themeFill="background1"/>
        <w:spacing/>
        <w:ind w:right="0"/>
        <w:jc w:val="both"/>
        <w:rPr>
          <w:szCs w:val="24"/>
          <w:highlight w:val="white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highlight w:val="none"/>
        </w:rPr>
        <w:t xml:space="preserve">Vanessa Lopes de Souza Gardim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  <w:t xml:space="preserve"> – Chefe de Gabinete;</w:t>
      </w:r>
      <w:r>
        <w:rPr>
          <w:szCs w:val="24"/>
          <w:highlight w:val="white"/>
        </w:rPr>
      </w:r>
      <w:r>
        <w:rPr>
          <w:szCs w:val="24"/>
          <w:highlight w:val="white"/>
        </w:rPr>
      </w:r>
    </w:p>
    <w:p>
      <w:pPr>
        <w:pStyle w:val="906"/>
        <w:numPr>
          <w:ilvl w:val="0"/>
          <w:numId w:val="10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themeColor="background1" w:fill="ffffff" w:themeFill="background1"/>
        <w:spacing/>
        <w:ind w:right="0"/>
        <w:jc w:val="both"/>
        <w:rPr>
          <w:szCs w:val="24"/>
          <w:highlight w:val="white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highlight w:val="none"/>
        </w:rPr>
        <w:t xml:space="preserve">Selma Santos Souza Ishida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  <w:t xml:space="preserve"> – Diretora Municipal de Turismo;</w:t>
      </w:r>
      <w:r>
        <w:rPr>
          <w:szCs w:val="24"/>
          <w:highlight w:val="white"/>
        </w:rPr>
      </w:r>
      <w:r>
        <w:rPr>
          <w:szCs w:val="24"/>
          <w:highlight w:val="white"/>
        </w:rPr>
      </w:r>
    </w:p>
    <w:p>
      <w:pPr>
        <w:pBdr/>
        <w:shd w:val="clear" w:color="ffffff" w:themeColor="background1" w:fill="ffffff" w:themeFill="background1"/>
        <w:spacing w:line="360" w:lineRule="auto"/>
        <w:ind/>
        <w:jc w:val="both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</w:r>
      <w:bookmarkStart w:id="0" w:name="_GoBack"/>
      <w:r>
        <w:rPr>
          <w:sz w:val="24"/>
          <w:szCs w:val="24"/>
          <w:highlight w:val="white"/>
        </w:rPr>
      </w:r>
      <w:bookmarkEnd w:id="0"/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pBdr/>
        <w:spacing/>
        <w:ind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/>
        <w:spacing/>
        <w:ind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/>
        <w:spacing/>
        <w:ind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/>
        <w:spacing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/>
        <w:tabs>
          <w:tab w:val="left" w:leader="none" w:pos="7286"/>
        </w:tabs>
        <w:spacing/>
        <w:ind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</w:rPr>
        <w:t xml:space="preserve">ANEXO I – DECLARAÇÃO DE CARGA ENERGÉTICA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</w:r>
      <w:r>
        <w:rPr>
          <w:rFonts w:ascii="Times New Roman" w:hAnsi="Times New Roman" w:cs="Times New Roman"/>
          <w:b/>
          <w:bCs/>
          <w:sz w:val="24"/>
          <w:szCs w:val="24"/>
        </w:rPr>
      </w:r>
    </w:p>
    <w:p>
      <w:pPr>
        <w:pStyle w:val="905"/>
        <w:pBdr/>
        <w:spacing/>
        <w:ind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905"/>
        <w:pBdr/>
        <w:spacing/>
        <w:ind/>
        <w:jc w:val="both"/>
        <w:rPr>
          <w:rFonts w:ascii="Times New Roman" w:hAnsi="Times New Roman" w:cs="Times New Roman"/>
          <w:color w:val="000000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COMERCIANTE: ______________________________________________________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</w:r>
      <w:r>
        <w:rPr>
          <w:rFonts w:ascii="Times New Roman" w:hAnsi="Times New Roman" w:cs="Times New Roman"/>
          <w:color w:val="000000"/>
          <w:sz w:val="24"/>
          <w:szCs w:val="24"/>
          <w:highlight w:val="none"/>
        </w:rPr>
      </w:r>
    </w:p>
    <w:p>
      <w:pPr>
        <w:pStyle w:val="905"/>
        <w:pBdr/>
        <w:spacing/>
        <w:ind/>
        <w:jc w:val="both"/>
        <w:rPr>
          <w:rFonts w:ascii="Times New Roman" w:hAnsi="Times New Roman" w:cs="Times New Roman"/>
          <w:color w:val="000000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Se pessoa fisica: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_______________, [nacionalidade], [estado civil], [profissão], portador(a) da Cédula de Identidade RG nº ______________ e inscrito(a) no CPF/MF sob o nº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______________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, residente e domiciliado(a) na [endereço]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.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</w:r>
      <w:r>
        <w:rPr>
          <w:rFonts w:ascii="Times New Roman" w:hAnsi="Times New Roman" w:cs="Times New Roman"/>
          <w:color w:val="000000"/>
          <w:sz w:val="24"/>
          <w:szCs w:val="24"/>
          <w:highlight w:val="none"/>
        </w:rPr>
      </w:r>
    </w:p>
    <w:p>
      <w:pPr>
        <w:pStyle w:val="905"/>
        <w:pBdr/>
        <w:spacing/>
        <w:ind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  <w:t xml:space="preserve">Se pessoa jurídica: ____________ [nome da empresa], devidamente inscrina no Cadastro Nacional da Pessoas Jurídicas do Ministério da Fazenda CNPJ sob o n.º ______, com sede na _____________________ [endereço], neste ato representada por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_______________, [nacionalidade], [estado civil], [profissão], portador(a) da Cédula de Identidade RG nº ______________ e inscrito(a) no CPF/MF sob o nº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______________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, residente e domiciliado(a) na [endereço]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.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DECLARA, sob as penas da l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ei e para os fins do disposto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na Cláusula 8.2, do E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dital de Chamamento Público para o evento AVIVA 2026, que os equipamentos e lâmpadas abaixo relacionados correspondem fielmente à carga energética que realmente utilizarei em meu espaço comercial nos dias 25 e 26 de setembro  de 2026, e que estou ciente de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que qualquer divergência constatada em eventual vistoria </w:t>
      </w:r>
      <w:r>
        <w:rPr>
          <w:rFonts w:ascii="Times New Roman" w:hAnsi="Times New Roman" w:eastAsia="Times New Roman" w:cs="Times New Roman"/>
          <w:i/>
          <w:iCs/>
          <w:color w:val="000000"/>
          <w:sz w:val="24"/>
          <w:szCs w:val="24"/>
        </w:rPr>
        <w:t xml:space="preserve">in loco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configurará quebra de confiança, sujeitando-me à imediata rescisão da autorização de uso.</w:t>
      </w:r>
      <w:r>
        <w:rPr>
          <w:rFonts w:ascii="Times New Roman" w:hAnsi="Times New Roman" w:cs="Times New Roman"/>
          <w:color w:val="000000"/>
          <w:sz w:val="24"/>
          <w:szCs w:val="24"/>
        </w:rPr>
      </w:r>
      <w:r>
        <w:rPr>
          <w:rFonts w:ascii="Times New Roman" w:hAnsi="Times New Roman" w:cs="Times New Roman"/>
          <w:color w:val="000000"/>
          <w:sz w:val="24"/>
          <w:szCs w:val="24"/>
        </w:rPr>
      </w:r>
    </w:p>
    <w:tbl>
      <w:tblPr>
        <w:tblStyle w:val="718"/>
        <w:tblW w:w="0" w:type="auto"/>
        <w:tblBorders/>
        <w:tblLayout w:type="fixed"/>
        <w:tblLook w:val="04A0" w:firstRow="1" w:lastRow="0" w:firstColumn="1" w:lastColumn="0" w:noHBand="0" w:noVBand="1"/>
      </w:tblPr>
      <w:tblGrid>
        <w:gridCol w:w="708"/>
        <w:gridCol w:w="2693"/>
        <w:gridCol w:w="1276"/>
        <w:gridCol w:w="1134"/>
        <w:gridCol w:w="850"/>
        <w:gridCol w:w="709"/>
        <w:gridCol w:w="1134"/>
      </w:tblGrid>
      <w:tr>
        <w:trPr>
          <w:trHeight w:val="581"/>
        </w:trPr>
        <w:tc>
          <w:tcPr>
            <w:tcBorders/>
            <w:tcW w:w="708" w:type="dxa"/>
            <w:textDirection w:val="lrTb"/>
            <w:noWrap w:val="false"/>
          </w:tcPr>
          <w:p>
            <w:pPr>
              <w:pStyle w:val="905"/>
              <w:pBdr/>
              <w:spacing/>
              <w:ind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r>
          </w:p>
          <w:p>
            <w:pPr>
              <w:pStyle w:val="905"/>
              <w:pBdr/>
              <w:spacing/>
              <w:ind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</w:rPr>
              <w:t xml:space="preserve">Item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highlight w:val="none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highlight w:val="none"/>
              </w:rPr>
            </w:r>
          </w:p>
        </w:tc>
        <w:tc>
          <w:tcPr>
            <w:tcBorders/>
            <w:tcW w:w="2693" w:type="dxa"/>
            <w:textDirection w:val="lrTb"/>
            <w:noWrap w:val="false"/>
          </w:tcPr>
          <w:p>
            <w:pPr>
              <w:pStyle w:val="905"/>
              <w:pBdr/>
              <w:spacing/>
              <w:ind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r>
          </w:p>
          <w:p>
            <w:pPr>
              <w:pStyle w:val="905"/>
              <w:pBdr/>
              <w:spacing/>
              <w:ind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</w:rPr>
              <w:t xml:space="preserve">Equipamento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highlight w:val="none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highlight w:val="none"/>
              </w:rPr>
            </w:r>
          </w:p>
        </w:tc>
        <w:tc>
          <w:tcPr>
            <w:tcBorders/>
            <w:tcW w:w="1276" w:type="dxa"/>
            <w:textDirection w:val="lrTb"/>
            <w:noWrap w:val="false"/>
          </w:tcPr>
          <w:p>
            <w:pPr>
              <w:pStyle w:val="905"/>
              <w:pBdr/>
              <w:spacing/>
              <w:ind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r>
          </w:p>
          <w:p>
            <w:pPr>
              <w:pStyle w:val="905"/>
              <w:pBdr/>
              <w:spacing/>
              <w:ind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</w:rPr>
              <w:t xml:space="preserve">Quantidade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highlight w:val="none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highlight w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>
            <w:pPr>
              <w:pStyle w:val="905"/>
              <w:pBdr/>
              <w:spacing/>
              <w:ind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r>
          </w:p>
          <w:p>
            <w:pPr>
              <w:pStyle w:val="905"/>
              <w:pBdr/>
              <w:spacing/>
              <w:ind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</w:rPr>
              <w:t xml:space="preserve">Potên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</w:rPr>
              <w:t xml:space="preserve">cia por unidade (W)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highlight w:val="none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highlight w:val="none"/>
              </w:rPr>
            </w:r>
          </w:p>
          <w:p>
            <w:pPr>
              <w:pStyle w:val="905"/>
              <w:pBdr/>
              <w:spacing/>
              <w:ind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highlight w:val="none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highlight w:val="none"/>
              </w:rPr>
            </w:r>
          </w:p>
        </w:tc>
        <w:tc>
          <w:tcPr>
            <w:tcBorders/>
            <w:tcW w:w="850" w:type="dxa"/>
            <w:textDirection w:val="lrTb"/>
            <w:noWrap w:val="false"/>
          </w:tcPr>
          <w:p>
            <w:pPr>
              <w:pStyle w:val="905"/>
              <w:pBdr/>
              <w:spacing/>
              <w:ind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r>
          </w:p>
          <w:p>
            <w:pPr>
              <w:pStyle w:val="905"/>
              <w:pBdr/>
              <w:spacing/>
              <w:ind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</w:rPr>
              <w:t xml:space="preserve">Potência total (W)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highlight w:val="none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highlight w:val="none"/>
              </w:rPr>
            </w:r>
          </w:p>
        </w:tc>
        <w:tc>
          <w:tcPr>
            <w:tcBorders/>
            <w:tcW w:w="709" w:type="dxa"/>
            <w:textDirection w:val="lrTb"/>
            <w:noWrap w:val="false"/>
          </w:tcPr>
          <w:p>
            <w:pPr>
              <w:pStyle w:val="905"/>
              <w:pBdr/>
              <w:spacing/>
              <w:ind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r>
          </w:p>
          <w:p>
            <w:pPr>
              <w:pStyle w:val="905"/>
              <w:pBdr/>
              <w:spacing/>
              <w:ind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</w:rPr>
              <w:t xml:space="preserve">Horas/dia de uso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highlight w:val="none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highlight w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>
            <w:pPr>
              <w:pStyle w:val="905"/>
              <w:pBdr/>
              <w:spacing/>
              <w:ind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r>
          </w:p>
          <w:p>
            <w:pPr>
              <w:pStyle w:val="905"/>
              <w:pBdr/>
              <w:spacing/>
              <w:ind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</w:rPr>
              <w:t xml:space="preserve">Consumo estimado (kWh)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highlight w:val="none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highlight w:val="none"/>
              </w:rPr>
            </w:r>
          </w:p>
        </w:tc>
      </w:tr>
      <w:tr>
        <w:trPr/>
        <w:tc>
          <w:tcPr>
            <w:tcBorders/>
            <w:tcW w:w="708" w:type="dxa"/>
            <w:vMerge w:val="restart"/>
            <w:textDirection w:val="lrTb"/>
            <w:noWrap w:val="false"/>
          </w:tcPr>
          <w:p>
            <w:pPr>
              <w:pStyle w:val="905"/>
              <w:pBdr/>
              <w:spacing/>
              <w:ind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2693" w:type="dxa"/>
            <w:vMerge w:val="restart"/>
            <w:textDirection w:val="lrTb"/>
            <w:noWrap w:val="false"/>
          </w:tcPr>
          <w:p>
            <w:pPr>
              <w:pStyle w:val="905"/>
              <w:pBdr/>
              <w:spacing/>
              <w: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/>
            <w:tcW w:w="1276" w:type="dxa"/>
            <w:vMerge w:val="restart"/>
            <w:textDirection w:val="lrTb"/>
            <w:noWrap w:val="false"/>
          </w:tcPr>
          <w:p>
            <w:pPr>
              <w:pStyle w:val="905"/>
              <w:pBdr/>
              <w:spacing/>
              <w: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/>
            <w:tcW w:w="1134" w:type="dxa"/>
            <w:vMerge w:val="restart"/>
            <w:textDirection w:val="lrTb"/>
            <w:noWrap w:val="false"/>
          </w:tcPr>
          <w:p>
            <w:pPr>
              <w:pStyle w:val="905"/>
              <w:pBdr/>
              <w:spacing/>
              <w: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/>
            <w:tcW w:w="850" w:type="dxa"/>
            <w:vMerge w:val="restart"/>
            <w:textDirection w:val="lrTb"/>
            <w:noWrap w:val="false"/>
          </w:tcPr>
          <w:p>
            <w:pPr>
              <w:pStyle w:val="905"/>
              <w:pBdr/>
              <w:spacing/>
              <w: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/>
            <w:tcW w:w="709" w:type="dxa"/>
            <w:vMerge w:val="restart"/>
            <w:textDirection w:val="lrTb"/>
            <w:noWrap w:val="false"/>
          </w:tcPr>
          <w:p>
            <w:pPr>
              <w:pStyle w:val="905"/>
              <w:pBdr/>
              <w:spacing/>
              <w: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/>
            <w:tcW w:w="1134" w:type="dxa"/>
            <w:vMerge w:val="restart"/>
            <w:textDirection w:val="lrTb"/>
            <w:noWrap w:val="false"/>
          </w:tcPr>
          <w:p>
            <w:pPr>
              <w:pStyle w:val="905"/>
              <w:pBdr/>
              <w:spacing/>
              <w: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/>
        <w:tc>
          <w:tcPr>
            <w:tcBorders/>
            <w:tcW w:w="708" w:type="dxa"/>
            <w:vMerge w:val="restart"/>
            <w:textDirection w:val="lrTb"/>
            <w:noWrap w:val="false"/>
          </w:tcPr>
          <w:p>
            <w:pPr>
              <w:pStyle w:val="905"/>
              <w:pBdr/>
              <w:spacing/>
              <w:ind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2693" w:type="dxa"/>
            <w:vMerge w:val="restart"/>
            <w:textDirection w:val="lrTb"/>
            <w:noWrap w:val="false"/>
          </w:tcPr>
          <w:p>
            <w:pPr>
              <w:pStyle w:val="905"/>
              <w:pBdr/>
              <w:spacing/>
              <w: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/>
            <w:tcW w:w="1276" w:type="dxa"/>
            <w:vMerge w:val="restart"/>
            <w:textDirection w:val="lrTb"/>
            <w:noWrap w:val="false"/>
          </w:tcPr>
          <w:p>
            <w:pPr>
              <w:pStyle w:val="905"/>
              <w:pBdr/>
              <w:spacing/>
              <w: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/>
            <w:tcW w:w="1134" w:type="dxa"/>
            <w:vMerge w:val="restart"/>
            <w:textDirection w:val="lrTb"/>
            <w:noWrap w:val="false"/>
          </w:tcPr>
          <w:p>
            <w:pPr>
              <w:pStyle w:val="905"/>
              <w:pBdr/>
              <w:spacing/>
              <w: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/>
            <w:tcW w:w="850" w:type="dxa"/>
            <w:vMerge w:val="restart"/>
            <w:textDirection w:val="lrTb"/>
            <w:noWrap w:val="false"/>
          </w:tcPr>
          <w:p>
            <w:pPr>
              <w:pStyle w:val="905"/>
              <w:pBdr/>
              <w:spacing/>
              <w: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/>
            <w:tcW w:w="709" w:type="dxa"/>
            <w:vMerge w:val="restart"/>
            <w:textDirection w:val="lrTb"/>
            <w:noWrap w:val="false"/>
          </w:tcPr>
          <w:p>
            <w:pPr>
              <w:pStyle w:val="905"/>
              <w:pBdr/>
              <w:spacing/>
              <w: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/>
            <w:tcW w:w="1134" w:type="dxa"/>
            <w:vMerge w:val="restart"/>
            <w:textDirection w:val="lrTb"/>
            <w:noWrap w:val="false"/>
          </w:tcPr>
          <w:p>
            <w:pPr>
              <w:pStyle w:val="905"/>
              <w:pBdr/>
              <w:spacing/>
              <w: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/>
        <w:tc>
          <w:tcPr>
            <w:tcBorders/>
            <w:tcW w:w="708" w:type="dxa"/>
            <w:vMerge w:val="restart"/>
            <w:textDirection w:val="lrTb"/>
            <w:noWrap w:val="false"/>
          </w:tcPr>
          <w:p>
            <w:pPr>
              <w:pStyle w:val="905"/>
              <w:pBdr/>
              <w:spacing/>
              <w:ind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2693" w:type="dxa"/>
            <w:vMerge w:val="restart"/>
            <w:textDirection w:val="lrTb"/>
            <w:noWrap w:val="false"/>
          </w:tcPr>
          <w:p>
            <w:pPr>
              <w:pStyle w:val="905"/>
              <w:pBdr/>
              <w:spacing/>
              <w: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/>
            <w:tcW w:w="1276" w:type="dxa"/>
            <w:vMerge w:val="restart"/>
            <w:textDirection w:val="lrTb"/>
            <w:noWrap w:val="false"/>
          </w:tcPr>
          <w:p>
            <w:pPr>
              <w:pStyle w:val="905"/>
              <w:pBdr/>
              <w:spacing/>
              <w: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/>
            <w:tcW w:w="1134" w:type="dxa"/>
            <w:vMerge w:val="restart"/>
            <w:textDirection w:val="lrTb"/>
            <w:noWrap w:val="false"/>
          </w:tcPr>
          <w:p>
            <w:pPr>
              <w:pStyle w:val="905"/>
              <w:pBdr/>
              <w:spacing/>
              <w: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/>
            <w:tcW w:w="850" w:type="dxa"/>
            <w:vMerge w:val="restart"/>
            <w:textDirection w:val="lrTb"/>
            <w:noWrap w:val="false"/>
          </w:tcPr>
          <w:p>
            <w:pPr>
              <w:pStyle w:val="905"/>
              <w:pBdr/>
              <w:spacing/>
              <w: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/>
            <w:tcW w:w="709" w:type="dxa"/>
            <w:vMerge w:val="restart"/>
            <w:textDirection w:val="lrTb"/>
            <w:noWrap w:val="false"/>
          </w:tcPr>
          <w:p>
            <w:pPr>
              <w:pStyle w:val="905"/>
              <w:pBdr/>
              <w:spacing/>
              <w: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/>
            <w:tcW w:w="1134" w:type="dxa"/>
            <w:vMerge w:val="restart"/>
            <w:textDirection w:val="lrTb"/>
            <w:noWrap w:val="false"/>
          </w:tcPr>
          <w:p>
            <w:pPr>
              <w:pStyle w:val="905"/>
              <w:pBdr/>
              <w:spacing/>
              <w: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/>
        <w:tc>
          <w:tcPr>
            <w:tcBorders/>
            <w:tcW w:w="708" w:type="dxa"/>
            <w:vMerge w:val="restart"/>
            <w:textDirection w:val="lrTb"/>
            <w:noWrap w:val="false"/>
          </w:tcPr>
          <w:p>
            <w:pPr>
              <w:pStyle w:val="905"/>
              <w:pBdr/>
              <w:spacing/>
              <w:ind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2693" w:type="dxa"/>
            <w:vMerge w:val="restart"/>
            <w:textDirection w:val="lrTb"/>
            <w:noWrap w:val="false"/>
          </w:tcPr>
          <w:p>
            <w:pPr>
              <w:pStyle w:val="905"/>
              <w:pBdr/>
              <w:spacing/>
              <w: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/>
            <w:tcW w:w="1276" w:type="dxa"/>
            <w:vMerge w:val="restart"/>
            <w:textDirection w:val="lrTb"/>
            <w:noWrap w:val="false"/>
          </w:tcPr>
          <w:p>
            <w:pPr>
              <w:pStyle w:val="905"/>
              <w:pBdr/>
              <w:spacing/>
              <w: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/>
            <w:tcW w:w="1134" w:type="dxa"/>
            <w:vMerge w:val="restart"/>
            <w:textDirection w:val="lrTb"/>
            <w:noWrap w:val="false"/>
          </w:tcPr>
          <w:p>
            <w:pPr>
              <w:pStyle w:val="905"/>
              <w:pBdr/>
              <w:spacing/>
              <w: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/>
            <w:tcW w:w="850" w:type="dxa"/>
            <w:vMerge w:val="restart"/>
            <w:textDirection w:val="lrTb"/>
            <w:noWrap w:val="false"/>
          </w:tcPr>
          <w:p>
            <w:pPr>
              <w:pStyle w:val="905"/>
              <w:pBdr/>
              <w:spacing/>
              <w: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/>
            <w:tcW w:w="709" w:type="dxa"/>
            <w:vMerge w:val="restart"/>
            <w:textDirection w:val="lrTb"/>
            <w:noWrap w:val="false"/>
          </w:tcPr>
          <w:p>
            <w:pPr>
              <w:pStyle w:val="905"/>
              <w:pBdr/>
              <w:spacing/>
              <w: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/>
            <w:tcW w:w="1134" w:type="dxa"/>
            <w:vMerge w:val="restart"/>
            <w:textDirection w:val="lrTb"/>
            <w:noWrap w:val="false"/>
          </w:tcPr>
          <w:p>
            <w:pPr>
              <w:pStyle w:val="905"/>
              <w:pBdr/>
              <w:spacing/>
              <w: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/>
        <w:tc>
          <w:tcPr>
            <w:tcBorders/>
            <w:tcW w:w="708" w:type="dxa"/>
            <w:vMerge w:val="restart"/>
            <w:textDirection w:val="lrTb"/>
            <w:noWrap w:val="false"/>
          </w:tcPr>
          <w:p>
            <w:pPr>
              <w:pStyle w:val="905"/>
              <w:pBdr/>
              <w:spacing/>
              <w:ind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2693" w:type="dxa"/>
            <w:vMerge w:val="restart"/>
            <w:textDirection w:val="lrTb"/>
            <w:noWrap w:val="false"/>
          </w:tcPr>
          <w:p>
            <w:pPr>
              <w:pStyle w:val="905"/>
              <w:pBdr/>
              <w:spacing/>
              <w: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/>
            <w:tcW w:w="1276" w:type="dxa"/>
            <w:vMerge w:val="restart"/>
            <w:textDirection w:val="lrTb"/>
            <w:noWrap w:val="false"/>
          </w:tcPr>
          <w:p>
            <w:pPr>
              <w:pStyle w:val="905"/>
              <w:pBdr/>
              <w:spacing/>
              <w: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/>
            <w:tcW w:w="1134" w:type="dxa"/>
            <w:vMerge w:val="restart"/>
            <w:textDirection w:val="lrTb"/>
            <w:noWrap w:val="false"/>
          </w:tcPr>
          <w:p>
            <w:pPr>
              <w:pStyle w:val="905"/>
              <w:pBdr/>
              <w:spacing/>
              <w: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/>
            <w:tcW w:w="850" w:type="dxa"/>
            <w:vMerge w:val="restart"/>
            <w:textDirection w:val="lrTb"/>
            <w:noWrap w:val="false"/>
          </w:tcPr>
          <w:p>
            <w:pPr>
              <w:pStyle w:val="905"/>
              <w:pBdr/>
              <w:spacing/>
              <w: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/>
            <w:tcW w:w="709" w:type="dxa"/>
            <w:vMerge w:val="restart"/>
            <w:textDirection w:val="lrTb"/>
            <w:noWrap w:val="false"/>
          </w:tcPr>
          <w:p>
            <w:pPr>
              <w:pStyle w:val="905"/>
              <w:pBdr/>
              <w:spacing/>
              <w: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/>
            <w:tcW w:w="1134" w:type="dxa"/>
            <w:vMerge w:val="restart"/>
            <w:textDirection w:val="lrTb"/>
            <w:noWrap w:val="false"/>
          </w:tcPr>
          <w:p>
            <w:pPr>
              <w:pStyle w:val="905"/>
              <w:pBdr/>
              <w:spacing/>
              <w: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/>
        <w:tc>
          <w:tcPr>
            <w:tcBorders/>
            <w:tcW w:w="708" w:type="dxa"/>
            <w:vMerge w:val="restart"/>
            <w:textDirection w:val="lrTb"/>
            <w:noWrap w:val="false"/>
          </w:tcPr>
          <w:p>
            <w:pPr>
              <w:pStyle w:val="905"/>
              <w:pBdr/>
              <w:spacing/>
              <w:ind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06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2693" w:type="dxa"/>
            <w:vMerge w:val="restart"/>
            <w:textDirection w:val="lrTb"/>
            <w:noWrap w:val="false"/>
          </w:tcPr>
          <w:p>
            <w:pPr>
              <w:pStyle w:val="905"/>
              <w:pBdr/>
              <w:spacing/>
              <w: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/>
            <w:tcW w:w="1276" w:type="dxa"/>
            <w:vMerge w:val="restart"/>
            <w:textDirection w:val="lrTb"/>
            <w:noWrap w:val="false"/>
          </w:tcPr>
          <w:p>
            <w:pPr>
              <w:pStyle w:val="905"/>
              <w:pBdr/>
              <w:spacing/>
              <w: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/>
            <w:tcW w:w="1134" w:type="dxa"/>
            <w:vMerge w:val="restart"/>
            <w:textDirection w:val="lrTb"/>
            <w:noWrap w:val="false"/>
          </w:tcPr>
          <w:p>
            <w:pPr>
              <w:pStyle w:val="905"/>
              <w:pBdr/>
              <w:spacing/>
              <w: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/>
            <w:tcW w:w="850" w:type="dxa"/>
            <w:vMerge w:val="restart"/>
            <w:textDirection w:val="lrTb"/>
            <w:noWrap w:val="false"/>
          </w:tcPr>
          <w:p>
            <w:pPr>
              <w:pStyle w:val="905"/>
              <w:pBdr/>
              <w:spacing/>
              <w: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/>
            <w:tcW w:w="709" w:type="dxa"/>
            <w:vMerge w:val="restart"/>
            <w:textDirection w:val="lrTb"/>
            <w:noWrap w:val="false"/>
          </w:tcPr>
          <w:p>
            <w:pPr>
              <w:pStyle w:val="905"/>
              <w:pBdr/>
              <w:spacing/>
              <w: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/>
            <w:tcW w:w="1134" w:type="dxa"/>
            <w:vMerge w:val="restart"/>
            <w:textDirection w:val="lrTb"/>
            <w:noWrap w:val="false"/>
          </w:tcPr>
          <w:p>
            <w:pPr>
              <w:pStyle w:val="905"/>
              <w:pBdr/>
              <w:spacing/>
              <w: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/>
        <w:tc>
          <w:tcPr>
            <w:tcBorders/>
            <w:tcW w:w="708" w:type="dxa"/>
            <w:vMerge w:val="restart"/>
            <w:textDirection w:val="lrTb"/>
            <w:noWrap w:val="false"/>
          </w:tcPr>
          <w:p>
            <w:pPr>
              <w:pStyle w:val="905"/>
              <w:pBdr/>
              <w:spacing/>
              <w:ind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07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2693" w:type="dxa"/>
            <w:vMerge w:val="restart"/>
            <w:textDirection w:val="lrTb"/>
            <w:noWrap w:val="false"/>
          </w:tcPr>
          <w:p>
            <w:pPr>
              <w:pStyle w:val="905"/>
              <w:pBdr/>
              <w:spacing/>
              <w: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/>
            <w:tcW w:w="1276" w:type="dxa"/>
            <w:vMerge w:val="restart"/>
            <w:textDirection w:val="lrTb"/>
            <w:noWrap w:val="false"/>
          </w:tcPr>
          <w:p>
            <w:pPr>
              <w:pStyle w:val="905"/>
              <w:pBdr/>
              <w:spacing/>
              <w: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/>
            <w:tcW w:w="1134" w:type="dxa"/>
            <w:vMerge w:val="restart"/>
            <w:textDirection w:val="lrTb"/>
            <w:noWrap w:val="false"/>
          </w:tcPr>
          <w:p>
            <w:pPr>
              <w:pStyle w:val="905"/>
              <w:pBdr/>
              <w:spacing/>
              <w: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/>
            <w:tcW w:w="850" w:type="dxa"/>
            <w:vMerge w:val="restart"/>
            <w:textDirection w:val="lrTb"/>
            <w:noWrap w:val="false"/>
          </w:tcPr>
          <w:p>
            <w:pPr>
              <w:pStyle w:val="905"/>
              <w:pBdr/>
              <w:spacing/>
              <w: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/>
            <w:tcW w:w="709" w:type="dxa"/>
            <w:vMerge w:val="restart"/>
            <w:textDirection w:val="lrTb"/>
            <w:noWrap w:val="false"/>
          </w:tcPr>
          <w:p>
            <w:pPr>
              <w:pStyle w:val="905"/>
              <w:pBdr/>
              <w:spacing/>
              <w: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/>
            <w:tcW w:w="1134" w:type="dxa"/>
            <w:vMerge w:val="restart"/>
            <w:textDirection w:val="lrTb"/>
            <w:noWrap w:val="false"/>
          </w:tcPr>
          <w:p>
            <w:pPr>
              <w:pStyle w:val="905"/>
              <w:pBdr/>
              <w:spacing/>
              <w: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/>
        <w:tc>
          <w:tcPr>
            <w:tcBorders/>
            <w:tcW w:w="708" w:type="dxa"/>
            <w:vMerge w:val="restart"/>
            <w:textDirection w:val="lrTb"/>
            <w:noWrap w:val="false"/>
          </w:tcPr>
          <w:p>
            <w:pPr>
              <w:pStyle w:val="905"/>
              <w:pBdr/>
              <w:spacing/>
              <w:ind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2693" w:type="dxa"/>
            <w:vMerge w:val="restart"/>
            <w:textDirection w:val="lrTb"/>
            <w:noWrap w:val="false"/>
          </w:tcPr>
          <w:p>
            <w:pPr>
              <w:pStyle w:val="905"/>
              <w:pBdr/>
              <w:spacing/>
              <w: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/>
            <w:tcW w:w="1276" w:type="dxa"/>
            <w:vMerge w:val="restart"/>
            <w:textDirection w:val="lrTb"/>
            <w:noWrap w:val="false"/>
          </w:tcPr>
          <w:p>
            <w:pPr>
              <w:pStyle w:val="905"/>
              <w:pBdr/>
              <w:spacing/>
              <w: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/>
            <w:tcW w:w="1134" w:type="dxa"/>
            <w:vMerge w:val="restart"/>
            <w:textDirection w:val="lrTb"/>
            <w:noWrap w:val="false"/>
          </w:tcPr>
          <w:p>
            <w:pPr>
              <w:pStyle w:val="905"/>
              <w:pBdr/>
              <w:spacing/>
              <w: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/>
            <w:tcW w:w="850" w:type="dxa"/>
            <w:vMerge w:val="restart"/>
            <w:textDirection w:val="lrTb"/>
            <w:noWrap w:val="false"/>
          </w:tcPr>
          <w:p>
            <w:pPr>
              <w:pStyle w:val="905"/>
              <w:pBdr/>
              <w:spacing/>
              <w: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/>
            <w:tcW w:w="709" w:type="dxa"/>
            <w:vMerge w:val="restart"/>
            <w:textDirection w:val="lrTb"/>
            <w:noWrap w:val="false"/>
          </w:tcPr>
          <w:p>
            <w:pPr>
              <w:pStyle w:val="905"/>
              <w:pBdr/>
              <w:spacing/>
              <w: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/>
            <w:tcW w:w="1134" w:type="dxa"/>
            <w:vMerge w:val="restart"/>
            <w:textDirection w:val="lrTb"/>
            <w:noWrap w:val="false"/>
          </w:tcPr>
          <w:p>
            <w:pPr>
              <w:pStyle w:val="905"/>
              <w:pBdr/>
              <w:spacing/>
              <w: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</w:tbl>
    <w:p>
      <w:pPr>
        <w:pStyle w:val="905"/>
        <w:pBdr/>
        <w:spacing/>
        <w:ind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905"/>
        <w:pBdr/>
        <w:spacing/>
        <w:ind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  <w:tab/>
        <w:tab/>
        <w:t xml:space="preserve">Declaro, ainda, que estou ciente de que a carga declarada será considerada como ligada durante todo o período de funcionamento do PERÍODO DE FERIADO PROLONGADO NA PRAIA MUNICIPAL, para fins de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cálculo do ressarcimento, independentemente da utilização efetiva, e que me submeto a vistorias in loco a qualquer tempo, de forma programada ou não, para verificação da compatibilidade entre os equipamentos efetivamente instalados e a presente declaração.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905"/>
        <w:pBdr/>
        <w:spacing/>
        <w:ind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pStyle w:val="905"/>
        <w:pBdr/>
        <w:spacing/>
        <w:ind/>
        <w:jc w:val="both"/>
        <w:rPr>
          <w:rFonts w:ascii="Times New Roman" w:hAnsi="Times New Roman" w:eastAsia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ab/>
        <w:tab/>
        <w:t xml:space="preserve">Pereira Barreto-SP, ____ de _________ de 2026.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</w:p>
    <w:p>
      <w:pPr>
        <w:pStyle w:val="905"/>
        <w:pBdr/>
        <w:spacing/>
        <w:ind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905"/>
        <w:pBdr/>
        <w:spacing/>
        <w:ind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905"/>
        <w:pBdr/>
        <w:spacing/>
        <w:ind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905"/>
        <w:pBdr/>
        <w:spacing/>
        <w:ind/>
        <w:jc w:val="center"/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      COMERCIANTE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</w:r>
    </w:p>
    <w:p>
      <w:pPr>
        <w:pStyle w:val="905"/>
        <w:pBdr/>
        <w:spacing/>
        <w:ind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[Nome co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mpleto e assinatura]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</w:r>
      <w:r>
        <w:rPr>
          <w:rFonts w:ascii="Times New Roman" w:hAnsi="Times New Roman" w:cs="Times New Roman"/>
          <w:b/>
          <w:bCs/>
          <w:sz w:val="24"/>
          <w:szCs w:val="24"/>
        </w:rPr>
      </w:r>
    </w:p>
    <w:p>
      <w:pPr>
        <w:pStyle w:val="905"/>
        <w:pBdr/>
        <w:spacing/>
        <w:ind/>
        <w:jc w:val="both"/>
        <w:rPr>
          <w:sz w:val="24"/>
          <w:szCs w:val="24"/>
        </w:rPr>
      </w:pP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  <w:r>
        <w:rPr>
          <w:sz w:val="24"/>
          <w:szCs w:val="24"/>
        </w:rPr>
      </w:r>
    </w:p>
    <w:sectPr>
      <w:footnotePr/>
      <w:endnotePr/>
      <w:type w:val="nextPage"/>
      <w:pgSz w:h="16838" w:orient="portrait" w:w="11906"/>
      <w:pgMar w:top="708" w:right="1701" w:bottom="1417" w:left="1701" w:header="708" w:footer="708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Symbol">
    <w:panose1 w:val="05050102010706020507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·"/>
      <w:numFmt w:val="bullet"/>
      <w:pPr>
        <w:pBdr/>
        <w:spacing/>
        <w:ind w:hanging="360" w:left="1429"/>
      </w:pPr>
      <w:rPr>
        <w:rFonts w:hint="default" w:ascii="Symbol" w:hAnsi="Symbol" w:eastAsia="Symbol" w:cs="Symbol"/>
      </w:rPr>
      <w:start w:val="1"/>
      <w:suff w:val="tab"/>
    </w:lvl>
    <w:lvl w:ilvl="2">
      <w:isLgl w:val="false"/>
      <w:lvlJc w:val="left"/>
      <w:lvlText w:val="·"/>
      <w:numFmt w:val="bullet"/>
      <w:pPr>
        <w:pBdr/>
        <w:spacing/>
        <w:ind w:hanging="360" w:left="2149"/>
      </w:pPr>
      <w:rPr>
        <w:rFonts w:hint="default" w:ascii="Symbol" w:hAnsi="Symbol" w:eastAsia="Symbol" w:cs="Symbol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·"/>
      <w:numFmt w:val="bullet"/>
      <w:pPr>
        <w:pBdr/>
        <w:spacing/>
        <w:ind w:hanging="360" w:left="3589"/>
      </w:pPr>
      <w:rPr>
        <w:rFonts w:hint="default" w:ascii="Symbol" w:hAnsi="Symbol" w:eastAsia="Symbol" w:cs="Symbol"/>
      </w:rPr>
      <w:start w:val="1"/>
      <w:suff w:val="tab"/>
    </w:lvl>
    <w:lvl w:ilvl="5">
      <w:isLgl w:val="false"/>
      <w:lvlJc w:val="left"/>
      <w:lvlText w:val="·"/>
      <w:numFmt w:val="bullet"/>
      <w:pPr>
        <w:pBdr/>
        <w:spacing/>
        <w:ind w:hanging="360" w:left="4309"/>
      </w:pPr>
      <w:rPr>
        <w:rFonts w:hint="default" w:ascii="Symbol" w:hAnsi="Symbol" w:eastAsia="Symbol" w:cs="Symbol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·"/>
      <w:numFmt w:val="bullet"/>
      <w:pPr>
        <w:pBdr/>
        <w:spacing/>
        <w:ind w:hanging="360" w:left="5749"/>
      </w:pPr>
      <w:rPr>
        <w:rFonts w:hint="default" w:ascii="Symbol" w:hAnsi="Symbol" w:eastAsia="Symbol" w:cs="Symbol"/>
      </w:rPr>
      <w:start w:val="1"/>
      <w:suff w:val="tab"/>
    </w:lvl>
    <w:lvl w:ilvl="8">
      <w:isLgl w:val="false"/>
      <w:lvlJc w:val="left"/>
      <w:lvlText w:val="·"/>
      <w:numFmt w:val="bullet"/>
      <w:pPr>
        <w:pBdr/>
        <w:spacing/>
        <w:ind w:hanging="360" w:left="6469"/>
      </w:pPr>
      <w:rPr>
        <w:rFonts w:hint="default" w:ascii="Symbol" w:hAnsi="Symbol" w:eastAsia="Symbol" w:cs="Symbol"/>
      </w:rPr>
      <w:start w:val="1"/>
      <w:suff w:val="tab"/>
    </w:lvl>
  </w:abstractNum>
  <w:abstractNum w:abstractNumId="1"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·"/>
      <w:numFmt w:val="bullet"/>
      <w:pPr>
        <w:pBdr/>
        <w:spacing/>
        <w:ind w:hanging="360" w:left="1429"/>
      </w:pPr>
      <w:rPr>
        <w:rFonts w:hint="default" w:ascii="Symbol" w:hAnsi="Symbol" w:eastAsia="Symbol" w:cs="Symbol"/>
      </w:rPr>
      <w:start w:val="1"/>
      <w:suff w:val="tab"/>
    </w:lvl>
    <w:lvl w:ilvl="2">
      <w:isLgl w:val="false"/>
      <w:lvlJc w:val="left"/>
      <w:lvlText w:val="·"/>
      <w:numFmt w:val="bullet"/>
      <w:pPr>
        <w:pBdr/>
        <w:spacing/>
        <w:ind w:hanging="360" w:left="2149"/>
      </w:pPr>
      <w:rPr>
        <w:rFonts w:hint="default" w:ascii="Symbol" w:hAnsi="Symbol" w:eastAsia="Symbol" w:cs="Symbol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·"/>
      <w:numFmt w:val="bullet"/>
      <w:pPr>
        <w:pBdr/>
        <w:spacing/>
        <w:ind w:hanging="360" w:left="3589"/>
      </w:pPr>
      <w:rPr>
        <w:rFonts w:hint="default" w:ascii="Symbol" w:hAnsi="Symbol" w:eastAsia="Symbol" w:cs="Symbol"/>
      </w:rPr>
      <w:start w:val="1"/>
      <w:suff w:val="tab"/>
    </w:lvl>
    <w:lvl w:ilvl="5">
      <w:isLgl w:val="false"/>
      <w:lvlJc w:val="left"/>
      <w:lvlText w:val="·"/>
      <w:numFmt w:val="bullet"/>
      <w:pPr>
        <w:pBdr/>
        <w:spacing/>
        <w:ind w:hanging="360" w:left="4309"/>
      </w:pPr>
      <w:rPr>
        <w:rFonts w:hint="default" w:ascii="Symbol" w:hAnsi="Symbol" w:eastAsia="Symbol" w:cs="Symbol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·"/>
      <w:numFmt w:val="bullet"/>
      <w:pPr>
        <w:pBdr/>
        <w:spacing/>
        <w:ind w:hanging="360" w:left="5749"/>
      </w:pPr>
      <w:rPr>
        <w:rFonts w:hint="default" w:ascii="Symbol" w:hAnsi="Symbol" w:eastAsia="Symbol" w:cs="Symbol"/>
      </w:rPr>
      <w:start w:val="1"/>
      <w:suff w:val="tab"/>
    </w:lvl>
    <w:lvl w:ilvl="8">
      <w:isLgl w:val="false"/>
      <w:lvlJc w:val="left"/>
      <w:lvlText w:val="·"/>
      <w:numFmt w:val="bullet"/>
      <w:pPr>
        <w:pBdr/>
        <w:spacing/>
        <w:ind w:hanging="360" w:left="6469"/>
      </w:pPr>
      <w:rPr>
        <w:rFonts w:hint="default" w:ascii="Symbol" w:hAnsi="Symbol" w:eastAsia="Symbol" w:cs="Symbol"/>
      </w:rPr>
      <w:start w:val="1"/>
      <w:suff w:val="tab"/>
    </w:lvl>
  </w:abstractNum>
  <w:abstractNum w:abstractNumId="2"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  <w:color w:val="000000"/>
        <w:sz w:val="24"/>
      </w:rPr>
      <w:start w:val="1"/>
      <w:suff w:val="tab"/>
    </w:lvl>
    <w:lvl w:ilvl="1">
      <w:isLgl w:val="false"/>
      <w:lvlJc w:val="left"/>
      <w:lvlText w:val="·"/>
      <w:numFmt w:val="bullet"/>
      <w:pPr>
        <w:pBdr/>
        <w:spacing/>
        <w:ind w:hanging="360" w:left="1429"/>
      </w:pPr>
      <w:rPr>
        <w:rFonts w:hint="default" w:ascii="Symbol" w:hAnsi="Symbol" w:eastAsia="Symbol" w:cs="Symbol"/>
        <w:color w:val="000000"/>
        <w:sz w:val="24"/>
      </w:rPr>
      <w:start w:val="1"/>
      <w:suff w:val="tab"/>
    </w:lvl>
    <w:lvl w:ilvl="2">
      <w:isLgl w:val="false"/>
      <w:lvlJc w:val="left"/>
      <w:lvlText w:val="·"/>
      <w:numFmt w:val="bullet"/>
      <w:pPr>
        <w:pBdr/>
        <w:spacing/>
        <w:ind w:hanging="360" w:left="2149"/>
      </w:pPr>
      <w:rPr>
        <w:rFonts w:hint="default" w:ascii="Symbol" w:hAnsi="Symbol" w:eastAsia="Symbol" w:cs="Symbol"/>
        <w:color w:val="000000"/>
        <w:sz w:val="24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  <w:color w:val="000000"/>
        <w:sz w:val="24"/>
      </w:rPr>
      <w:start w:val="1"/>
      <w:suff w:val="tab"/>
    </w:lvl>
    <w:lvl w:ilvl="4">
      <w:isLgl w:val="false"/>
      <w:lvlJc w:val="left"/>
      <w:lvlText w:val="·"/>
      <w:numFmt w:val="bullet"/>
      <w:pPr>
        <w:pBdr/>
        <w:spacing/>
        <w:ind w:hanging="360" w:left="3589"/>
      </w:pPr>
      <w:rPr>
        <w:rFonts w:hint="default" w:ascii="Symbol" w:hAnsi="Symbol" w:eastAsia="Symbol" w:cs="Symbol"/>
        <w:color w:val="000000"/>
        <w:sz w:val="24"/>
      </w:rPr>
      <w:start w:val="1"/>
      <w:suff w:val="tab"/>
    </w:lvl>
    <w:lvl w:ilvl="5">
      <w:isLgl w:val="false"/>
      <w:lvlJc w:val="left"/>
      <w:lvlText w:val="·"/>
      <w:numFmt w:val="bullet"/>
      <w:pPr>
        <w:pBdr/>
        <w:spacing/>
        <w:ind w:hanging="360" w:left="4309"/>
      </w:pPr>
      <w:rPr>
        <w:rFonts w:hint="default" w:ascii="Symbol" w:hAnsi="Symbol" w:eastAsia="Symbol" w:cs="Symbol"/>
        <w:color w:val="000000"/>
        <w:sz w:val="24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  <w:color w:val="000000"/>
        <w:sz w:val="24"/>
      </w:rPr>
      <w:start w:val="1"/>
      <w:suff w:val="tab"/>
    </w:lvl>
    <w:lvl w:ilvl="7">
      <w:isLgl w:val="false"/>
      <w:lvlJc w:val="left"/>
      <w:lvlText w:val="·"/>
      <w:numFmt w:val="bullet"/>
      <w:pPr>
        <w:pBdr/>
        <w:spacing/>
        <w:ind w:hanging="360" w:left="5749"/>
      </w:pPr>
      <w:rPr>
        <w:rFonts w:hint="default" w:ascii="Symbol" w:hAnsi="Symbol" w:eastAsia="Symbol" w:cs="Symbol"/>
        <w:color w:val="000000"/>
        <w:sz w:val="24"/>
      </w:rPr>
      <w:start w:val="1"/>
      <w:suff w:val="tab"/>
    </w:lvl>
    <w:lvl w:ilvl="8">
      <w:isLgl w:val="false"/>
      <w:lvlJc w:val="left"/>
      <w:lvlText w:val="·"/>
      <w:numFmt w:val="bullet"/>
      <w:pPr>
        <w:pBdr/>
        <w:spacing/>
        <w:ind w:hanging="360" w:left="6469"/>
      </w:pPr>
      <w:rPr>
        <w:rFonts w:hint="default" w:ascii="Symbol" w:hAnsi="Symbol" w:eastAsia="Symbol" w:cs="Symbol"/>
        <w:color w:val="000000"/>
        <w:sz w:val="24"/>
      </w:rPr>
      <w:start w:val="1"/>
      <w:suff w:val="tab"/>
    </w:lvl>
  </w:abstractNum>
  <w:abstractNum w:abstractNumId="3"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  <w:color w:val="000000"/>
        <w:sz w:val="24"/>
      </w:rPr>
      <w:start w:val="1"/>
      <w:suff w:val="tab"/>
    </w:lvl>
    <w:lvl w:ilvl="1">
      <w:isLgl w:val="false"/>
      <w:lvlJc w:val="left"/>
      <w:lvlText w:val="·"/>
      <w:numFmt w:val="bullet"/>
      <w:pPr>
        <w:pBdr/>
        <w:spacing/>
        <w:ind w:hanging="360" w:left="1429"/>
      </w:pPr>
      <w:rPr>
        <w:rFonts w:hint="default" w:ascii="Symbol" w:hAnsi="Symbol" w:eastAsia="Symbol" w:cs="Symbol"/>
        <w:color w:val="000000"/>
        <w:sz w:val="24"/>
      </w:rPr>
      <w:start w:val="1"/>
      <w:suff w:val="tab"/>
    </w:lvl>
    <w:lvl w:ilvl="2">
      <w:isLgl w:val="false"/>
      <w:lvlJc w:val="left"/>
      <w:lvlText w:val="·"/>
      <w:numFmt w:val="bullet"/>
      <w:pPr>
        <w:pBdr/>
        <w:spacing/>
        <w:ind w:hanging="360" w:left="2149"/>
      </w:pPr>
      <w:rPr>
        <w:rFonts w:hint="default" w:ascii="Symbol" w:hAnsi="Symbol" w:eastAsia="Symbol" w:cs="Symbol"/>
        <w:color w:val="000000"/>
        <w:sz w:val="24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  <w:color w:val="000000"/>
        <w:sz w:val="24"/>
      </w:rPr>
      <w:start w:val="1"/>
      <w:suff w:val="tab"/>
    </w:lvl>
    <w:lvl w:ilvl="4">
      <w:isLgl w:val="false"/>
      <w:lvlJc w:val="left"/>
      <w:lvlText w:val="·"/>
      <w:numFmt w:val="bullet"/>
      <w:pPr>
        <w:pBdr/>
        <w:spacing/>
        <w:ind w:hanging="360" w:left="3589"/>
      </w:pPr>
      <w:rPr>
        <w:rFonts w:hint="default" w:ascii="Symbol" w:hAnsi="Symbol" w:eastAsia="Symbol" w:cs="Symbol"/>
        <w:color w:val="000000"/>
        <w:sz w:val="24"/>
      </w:rPr>
      <w:start w:val="1"/>
      <w:suff w:val="tab"/>
    </w:lvl>
    <w:lvl w:ilvl="5">
      <w:isLgl w:val="false"/>
      <w:lvlJc w:val="left"/>
      <w:lvlText w:val="·"/>
      <w:numFmt w:val="bullet"/>
      <w:pPr>
        <w:pBdr/>
        <w:spacing/>
        <w:ind w:hanging="360" w:left="4309"/>
      </w:pPr>
      <w:rPr>
        <w:rFonts w:hint="default" w:ascii="Symbol" w:hAnsi="Symbol" w:eastAsia="Symbol" w:cs="Symbol"/>
        <w:color w:val="000000"/>
        <w:sz w:val="24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  <w:color w:val="000000"/>
        <w:sz w:val="24"/>
      </w:rPr>
      <w:start w:val="1"/>
      <w:suff w:val="tab"/>
    </w:lvl>
    <w:lvl w:ilvl="7">
      <w:isLgl w:val="false"/>
      <w:lvlJc w:val="left"/>
      <w:lvlText w:val="·"/>
      <w:numFmt w:val="bullet"/>
      <w:pPr>
        <w:pBdr/>
        <w:spacing/>
        <w:ind w:hanging="360" w:left="5749"/>
      </w:pPr>
      <w:rPr>
        <w:rFonts w:hint="default" w:ascii="Symbol" w:hAnsi="Symbol" w:eastAsia="Symbol" w:cs="Symbol"/>
        <w:color w:val="000000"/>
        <w:sz w:val="24"/>
      </w:rPr>
      <w:start w:val="1"/>
      <w:suff w:val="tab"/>
    </w:lvl>
    <w:lvl w:ilvl="8">
      <w:isLgl w:val="false"/>
      <w:lvlJc w:val="left"/>
      <w:lvlText w:val="·"/>
      <w:numFmt w:val="bullet"/>
      <w:pPr>
        <w:pBdr/>
        <w:spacing/>
        <w:ind w:hanging="360" w:left="6469"/>
      </w:pPr>
      <w:rPr>
        <w:rFonts w:hint="default" w:ascii="Symbol" w:hAnsi="Symbol" w:eastAsia="Symbol" w:cs="Symbol"/>
        <w:color w:val="000000"/>
        <w:sz w:val="24"/>
      </w:rPr>
      <w:start w:val="1"/>
      <w:suff w:val="tab"/>
    </w:lvl>
  </w:abstractNum>
  <w:abstractNum w:abstractNumId="4"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·"/>
      <w:numFmt w:val="bullet"/>
      <w:pPr>
        <w:pBdr/>
        <w:spacing/>
        <w:ind w:hanging="360" w:left="1429"/>
      </w:pPr>
      <w:rPr>
        <w:rFonts w:hint="default" w:ascii="Symbol" w:hAnsi="Symbol" w:eastAsia="Symbol" w:cs="Symbol"/>
      </w:rPr>
      <w:start w:val="1"/>
      <w:suff w:val="tab"/>
    </w:lvl>
    <w:lvl w:ilvl="2">
      <w:isLgl w:val="false"/>
      <w:lvlJc w:val="left"/>
      <w:lvlText w:val="·"/>
      <w:numFmt w:val="bullet"/>
      <w:pPr>
        <w:pBdr/>
        <w:spacing/>
        <w:ind w:hanging="360" w:left="2149"/>
      </w:pPr>
      <w:rPr>
        <w:rFonts w:hint="default" w:ascii="Symbol" w:hAnsi="Symbol" w:eastAsia="Symbol" w:cs="Symbol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·"/>
      <w:numFmt w:val="bullet"/>
      <w:pPr>
        <w:pBdr/>
        <w:spacing/>
        <w:ind w:hanging="360" w:left="3589"/>
      </w:pPr>
      <w:rPr>
        <w:rFonts w:hint="default" w:ascii="Symbol" w:hAnsi="Symbol" w:eastAsia="Symbol" w:cs="Symbol"/>
      </w:rPr>
      <w:start w:val="1"/>
      <w:suff w:val="tab"/>
    </w:lvl>
    <w:lvl w:ilvl="5">
      <w:isLgl w:val="false"/>
      <w:lvlJc w:val="left"/>
      <w:lvlText w:val="·"/>
      <w:numFmt w:val="bullet"/>
      <w:pPr>
        <w:pBdr/>
        <w:spacing/>
        <w:ind w:hanging="360" w:left="4309"/>
      </w:pPr>
      <w:rPr>
        <w:rFonts w:hint="default" w:ascii="Symbol" w:hAnsi="Symbol" w:eastAsia="Symbol" w:cs="Symbol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·"/>
      <w:numFmt w:val="bullet"/>
      <w:pPr>
        <w:pBdr/>
        <w:spacing/>
        <w:ind w:hanging="360" w:left="5749"/>
      </w:pPr>
      <w:rPr>
        <w:rFonts w:hint="default" w:ascii="Symbol" w:hAnsi="Symbol" w:eastAsia="Symbol" w:cs="Symbol"/>
      </w:rPr>
      <w:start w:val="1"/>
      <w:suff w:val="tab"/>
    </w:lvl>
    <w:lvl w:ilvl="8">
      <w:isLgl w:val="false"/>
      <w:lvlJc w:val="left"/>
      <w:lvlText w:val="·"/>
      <w:numFmt w:val="bullet"/>
      <w:pPr>
        <w:pBdr/>
        <w:spacing/>
        <w:ind w:hanging="360" w:left="6469"/>
      </w:pPr>
      <w:rPr>
        <w:rFonts w:hint="default" w:ascii="Symbol" w:hAnsi="Symbol" w:eastAsia="Symbol" w:cs="Symbol"/>
      </w:rPr>
      <w:start w:val="1"/>
      <w:suff w:val="tab"/>
    </w:lvl>
  </w:abstractNum>
  <w:abstractNum w:abstractNumId="5"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·"/>
      <w:numFmt w:val="bullet"/>
      <w:pPr>
        <w:pBdr/>
        <w:spacing/>
        <w:ind w:hanging="360" w:left="1429"/>
      </w:pPr>
      <w:rPr>
        <w:rFonts w:hint="default" w:ascii="Symbol" w:hAnsi="Symbol" w:eastAsia="Symbol" w:cs="Symbol"/>
      </w:rPr>
      <w:start w:val="1"/>
      <w:suff w:val="tab"/>
    </w:lvl>
    <w:lvl w:ilvl="2">
      <w:isLgl w:val="false"/>
      <w:lvlJc w:val="left"/>
      <w:lvlText w:val="·"/>
      <w:numFmt w:val="bullet"/>
      <w:pPr>
        <w:pBdr/>
        <w:spacing/>
        <w:ind w:hanging="360" w:left="2149"/>
      </w:pPr>
      <w:rPr>
        <w:rFonts w:hint="default" w:ascii="Symbol" w:hAnsi="Symbol" w:eastAsia="Symbol" w:cs="Symbol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·"/>
      <w:numFmt w:val="bullet"/>
      <w:pPr>
        <w:pBdr/>
        <w:spacing/>
        <w:ind w:hanging="360" w:left="3589"/>
      </w:pPr>
      <w:rPr>
        <w:rFonts w:hint="default" w:ascii="Symbol" w:hAnsi="Symbol" w:eastAsia="Symbol" w:cs="Symbol"/>
      </w:rPr>
      <w:start w:val="1"/>
      <w:suff w:val="tab"/>
    </w:lvl>
    <w:lvl w:ilvl="5">
      <w:isLgl w:val="false"/>
      <w:lvlJc w:val="left"/>
      <w:lvlText w:val="·"/>
      <w:numFmt w:val="bullet"/>
      <w:pPr>
        <w:pBdr/>
        <w:spacing/>
        <w:ind w:hanging="360" w:left="4309"/>
      </w:pPr>
      <w:rPr>
        <w:rFonts w:hint="default" w:ascii="Symbol" w:hAnsi="Symbol" w:eastAsia="Symbol" w:cs="Symbol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·"/>
      <w:numFmt w:val="bullet"/>
      <w:pPr>
        <w:pBdr/>
        <w:spacing/>
        <w:ind w:hanging="360" w:left="5749"/>
      </w:pPr>
      <w:rPr>
        <w:rFonts w:hint="default" w:ascii="Symbol" w:hAnsi="Symbol" w:eastAsia="Symbol" w:cs="Symbol"/>
      </w:rPr>
      <w:start w:val="1"/>
      <w:suff w:val="tab"/>
    </w:lvl>
    <w:lvl w:ilvl="8">
      <w:isLgl w:val="false"/>
      <w:lvlJc w:val="left"/>
      <w:lvlText w:val="·"/>
      <w:numFmt w:val="bullet"/>
      <w:pPr>
        <w:pBdr/>
        <w:spacing/>
        <w:ind w:hanging="360" w:left="6469"/>
      </w:pPr>
      <w:rPr>
        <w:rFonts w:hint="default" w:ascii="Symbol" w:hAnsi="Symbol" w:eastAsia="Symbol" w:cs="Symbol"/>
      </w:rPr>
      <w:start w:val="1"/>
      <w:suff w:val="tab"/>
    </w:lvl>
  </w:abstractNum>
  <w:abstractNum w:abstractNumId="6"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·"/>
      <w:numFmt w:val="bullet"/>
      <w:pPr>
        <w:pBdr/>
        <w:spacing/>
        <w:ind w:hanging="360" w:left="1429"/>
      </w:pPr>
      <w:rPr>
        <w:rFonts w:hint="default" w:ascii="Symbol" w:hAnsi="Symbol" w:eastAsia="Symbol" w:cs="Symbol"/>
      </w:rPr>
      <w:start w:val="1"/>
      <w:suff w:val="tab"/>
    </w:lvl>
    <w:lvl w:ilvl="2">
      <w:isLgl w:val="false"/>
      <w:lvlJc w:val="left"/>
      <w:lvlText w:val="·"/>
      <w:numFmt w:val="bullet"/>
      <w:pPr>
        <w:pBdr/>
        <w:spacing/>
        <w:ind w:hanging="360" w:left="2149"/>
      </w:pPr>
      <w:rPr>
        <w:rFonts w:hint="default" w:ascii="Symbol" w:hAnsi="Symbol" w:eastAsia="Symbol" w:cs="Symbol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·"/>
      <w:numFmt w:val="bullet"/>
      <w:pPr>
        <w:pBdr/>
        <w:spacing/>
        <w:ind w:hanging="360" w:left="3589"/>
      </w:pPr>
      <w:rPr>
        <w:rFonts w:hint="default" w:ascii="Symbol" w:hAnsi="Symbol" w:eastAsia="Symbol" w:cs="Symbol"/>
      </w:rPr>
      <w:start w:val="1"/>
      <w:suff w:val="tab"/>
    </w:lvl>
    <w:lvl w:ilvl="5">
      <w:isLgl w:val="false"/>
      <w:lvlJc w:val="left"/>
      <w:lvlText w:val="·"/>
      <w:numFmt w:val="bullet"/>
      <w:pPr>
        <w:pBdr/>
        <w:spacing/>
        <w:ind w:hanging="360" w:left="4309"/>
      </w:pPr>
      <w:rPr>
        <w:rFonts w:hint="default" w:ascii="Symbol" w:hAnsi="Symbol" w:eastAsia="Symbol" w:cs="Symbol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·"/>
      <w:numFmt w:val="bullet"/>
      <w:pPr>
        <w:pBdr/>
        <w:spacing/>
        <w:ind w:hanging="360" w:left="5749"/>
      </w:pPr>
      <w:rPr>
        <w:rFonts w:hint="default" w:ascii="Symbol" w:hAnsi="Symbol" w:eastAsia="Symbol" w:cs="Symbol"/>
      </w:rPr>
      <w:start w:val="1"/>
      <w:suff w:val="tab"/>
    </w:lvl>
    <w:lvl w:ilvl="8">
      <w:isLgl w:val="false"/>
      <w:lvlJc w:val="left"/>
      <w:lvlText w:val="·"/>
      <w:numFmt w:val="bullet"/>
      <w:pPr>
        <w:pBdr/>
        <w:spacing/>
        <w:ind w:hanging="360" w:left="6469"/>
      </w:pPr>
      <w:rPr>
        <w:rFonts w:hint="default" w:ascii="Symbol" w:hAnsi="Symbol" w:eastAsia="Symbol" w:cs="Symbol"/>
      </w:rPr>
      <w:start w:val="1"/>
      <w:suff w:val="tab"/>
    </w:lvl>
  </w:abstractNum>
  <w:abstractNum w:abstractNumId="7"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  <w:color w:val="000000"/>
        <w:sz w:val="24"/>
      </w:rPr>
      <w:start w:val="1"/>
      <w:suff w:val="tab"/>
    </w:lvl>
    <w:lvl w:ilvl="1">
      <w:isLgl w:val="false"/>
      <w:lvlJc w:val="left"/>
      <w:lvlText w:val="·"/>
      <w:numFmt w:val="bullet"/>
      <w:pPr>
        <w:pBdr/>
        <w:spacing/>
        <w:ind w:hanging="360" w:left="1429"/>
      </w:pPr>
      <w:rPr>
        <w:rFonts w:hint="default" w:ascii="Symbol" w:hAnsi="Symbol" w:eastAsia="Symbol" w:cs="Symbol"/>
        <w:color w:val="000000"/>
        <w:sz w:val="24"/>
      </w:rPr>
      <w:start w:val="1"/>
      <w:suff w:val="tab"/>
    </w:lvl>
    <w:lvl w:ilvl="2">
      <w:isLgl w:val="false"/>
      <w:lvlJc w:val="left"/>
      <w:lvlText w:val="·"/>
      <w:numFmt w:val="bullet"/>
      <w:pPr>
        <w:pBdr/>
        <w:spacing/>
        <w:ind w:hanging="360" w:left="2149"/>
      </w:pPr>
      <w:rPr>
        <w:rFonts w:hint="default" w:ascii="Symbol" w:hAnsi="Symbol" w:eastAsia="Symbol" w:cs="Symbol"/>
        <w:color w:val="000000"/>
        <w:sz w:val="24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  <w:color w:val="000000"/>
        <w:sz w:val="24"/>
      </w:rPr>
      <w:start w:val="1"/>
      <w:suff w:val="tab"/>
    </w:lvl>
    <w:lvl w:ilvl="4">
      <w:isLgl w:val="false"/>
      <w:lvlJc w:val="left"/>
      <w:lvlText w:val="·"/>
      <w:numFmt w:val="bullet"/>
      <w:pPr>
        <w:pBdr/>
        <w:spacing/>
        <w:ind w:hanging="360" w:left="3589"/>
      </w:pPr>
      <w:rPr>
        <w:rFonts w:hint="default" w:ascii="Symbol" w:hAnsi="Symbol" w:eastAsia="Symbol" w:cs="Symbol"/>
        <w:color w:val="000000"/>
        <w:sz w:val="24"/>
      </w:rPr>
      <w:start w:val="1"/>
      <w:suff w:val="tab"/>
    </w:lvl>
    <w:lvl w:ilvl="5">
      <w:isLgl w:val="false"/>
      <w:lvlJc w:val="left"/>
      <w:lvlText w:val="·"/>
      <w:numFmt w:val="bullet"/>
      <w:pPr>
        <w:pBdr/>
        <w:spacing/>
        <w:ind w:hanging="360" w:left="4309"/>
      </w:pPr>
      <w:rPr>
        <w:rFonts w:hint="default" w:ascii="Symbol" w:hAnsi="Symbol" w:eastAsia="Symbol" w:cs="Symbol"/>
        <w:color w:val="000000"/>
        <w:sz w:val="24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  <w:color w:val="000000"/>
        <w:sz w:val="24"/>
      </w:rPr>
      <w:start w:val="1"/>
      <w:suff w:val="tab"/>
    </w:lvl>
    <w:lvl w:ilvl="7">
      <w:isLgl w:val="false"/>
      <w:lvlJc w:val="left"/>
      <w:lvlText w:val="·"/>
      <w:numFmt w:val="bullet"/>
      <w:pPr>
        <w:pBdr/>
        <w:spacing/>
        <w:ind w:hanging="360" w:left="5749"/>
      </w:pPr>
      <w:rPr>
        <w:rFonts w:hint="default" w:ascii="Symbol" w:hAnsi="Symbol" w:eastAsia="Symbol" w:cs="Symbol"/>
        <w:color w:val="000000"/>
        <w:sz w:val="24"/>
      </w:rPr>
      <w:start w:val="1"/>
      <w:suff w:val="tab"/>
    </w:lvl>
    <w:lvl w:ilvl="8">
      <w:isLgl w:val="false"/>
      <w:lvlJc w:val="left"/>
      <w:lvlText w:val="·"/>
      <w:numFmt w:val="bullet"/>
      <w:pPr>
        <w:pBdr/>
        <w:spacing/>
        <w:ind w:hanging="360" w:left="6469"/>
      </w:pPr>
      <w:rPr>
        <w:rFonts w:hint="default" w:ascii="Symbol" w:hAnsi="Symbol" w:eastAsia="Symbol" w:cs="Symbol"/>
        <w:color w:val="000000"/>
        <w:sz w:val="24"/>
      </w:rPr>
      <w:start w:val="1"/>
      <w:suff w:val="tab"/>
    </w:lvl>
  </w:abstractNum>
  <w:abstractNum w:abstractNumId="8"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  <w:color w:val="000000"/>
        <w:sz w:val="24"/>
      </w:rPr>
      <w:start w:val="1"/>
      <w:suff w:val="tab"/>
    </w:lvl>
    <w:lvl w:ilvl="1">
      <w:isLgl w:val="false"/>
      <w:lvlJc w:val="left"/>
      <w:lvlText w:val="·"/>
      <w:numFmt w:val="bullet"/>
      <w:pPr>
        <w:pBdr/>
        <w:spacing/>
        <w:ind w:hanging="360" w:left="1429"/>
      </w:pPr>
      <w:rPr>
        <w:rFonts w:hint="default" w:ascii="Symbol" w:hAnsi="Symbol" w:eastAsia="Symbol" w:cs="Symbol"/>
        <w:color w:val="000000"/>
        <w:sz w:val="24"/>
      </w:rPr>
      <w:start w:val="1"/>
      <w:suff w:val="tab"/>
    </w:lvl>
    <w:lvl w:ilvl="2">
      <w:isLgl w:val="false"/>
      <w:lvlJc w:val="left"/>
      <w:lvlText w:val="·"/>
      <w:numFmt w:val="bullet"/>
      <w:pPr>
        <w:pBdr/>
        <w:spacing/>
        <w:ind w:hanging="360" w:left="2149"/>
      </w:pPr>
      <w:rPr>
        <w:rFonts w:hint="default" w:ascii="Symbol" w:hAnsi="Symbol" w:eastAsia="Symbol" w:cs="Symbol"/>
        <w:color w:val="000000"/>
        <w:sz w:val="24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  <w:color w:val="000000"/>
        <w:sz w:val="24"/>
      </w:rPr>
      <w:start w:val="1"/>
      <w:suff w:val="tab"/>
    </w:lvl>
    <w:lvl w:ilvl="4">
      <w:isLgl w:val="false"/>
      <w:lvlJc w:val="left"/>
      <w:lvlText w:val="·"/>
      <w:numFmt w:val="bullet"/>
      <w:pPr>
        <w:pBdr/>
        <w:spacing/>
        <w:ind w:hanging="360" w:left="3589"/>
      </w:pPr>
      <w:rPr>
        <w:rFonts w:hint="default" w:ascii="Symbol" w:hAnsi="Symbol" w:eastAsia="Symbol" w:cs="Symbol"/>
        <w:color w:val="000000"/>
        <w:sz w:val="24"/>
      </w:rPr>
      <w:start w:val="1"/>
      <w:suff w:val="tab"/>
    </w:lvl>
    <w:lvl w:ilvl="5">
      <w:isLgl w:val="false"/>
      <w:lvlJc w:val="left"/>
      <w:lvlText w:val="·"/>
      <w:numFmt w:val="bullet"/>
      <w:pPr>
        <w:pBdr/>
        <w:spacing/>
        <w:ind w:hanging="360" w:left="4309"/>
      </w:pPr>
      <w:rPr>
        <w:rFonts w:hint="default" w:ascii="Symbol" w:hAnsi="Symbol" w:eastAsia="Symbol" w:cs="Symbol"/>
        <w:color w:val="000000"/>
        <w:sz w:val="24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  <w:color w:val="000000"/>
        <w:sz w:val="24"/>
      </w:rPr>
      <w:start w:val="1"/>
      <w:suff w:val="tab"/>
    </w:lvl>
    <w:lvl w:ilvl="7">
      <w:isLgl w:val="false"/>
      <w:lvlJc w:val="left"/>
      <w:lvlText w:val="·"/>
      <w:numFmt w:val="bullet"/>
      <w:pPr>
        <w:pBdr/>
        <w:spacing/>
        <w:ind w:hanging="360" w:left="5749"/>
      </w:pPr>
      <w:rPr>
        <w:rFonts w:hint="default" w:ascii="Symbol" w:hAnsi="Symbol" w:eastAsia="Symbol" w:cs="Symbol"/>
        <w:color w:val="000000"/>
        <w:sz w:val="24"/>
      </w:rPr>
      <w:start w:val="1"/>
      <w:suff w:val="tab"/>
    </w:lvl>
    <w:lvl w:ilvl="8">
      <w:isLgl w:val="false"/>
      <w:lvlJc w:val="left"/>
      <w:lvlText w:val="·"/>
      <w:numFmt w:val="bullet"/>
      <w:pPr>
        <w:pBdr/>
        <w:spacing/>
        <w:ind w:hanging="360" w:left="6469"/>
      </w:pPr>
      <w:rPr>
        <w:rFonts w:hint="default" w:ascii="Symbol" w:hAnsi="Symbol" w:eastAsia="Symbol" w:cs="Symbol"/>
        <w:color w:val="000000"/>
        <w:sz w:val="24"/>
      </w:rPr>
      <w:start w:val="1"/>
      <w:suff w:val="tab"/>
    </w:lvl>
  </w:abstractNum>
  <w:abstractNum w:abstractNumId="9"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  <w:color w:val="000000"/>
        <w:sz w:val="24"/>
      </w:rPr>
      <w:start w:val="1"/>
      <w:suff w:val="tab"/>
    </w:lvl>
    <w:lvl w:ilvl="1">
      <w:isLgl w:val="false"/>
      <w:lvlJc w:val="left"/>
      <w:lvlText w:val="·"/>
      <w:numFmt w:val="bullet"/>
      <w:pPr>
        <w:pBdr/>
        <w:spacing/>
        <w:ind w:hanging="360" w:left="1429"/>
      </w:pPr>
      <w:rPr>
        <w:rFonts w:hint="default" w:ascii="Symbol" w:hAnsi="Symbol" w:eastAsia="Symbol" w:cs="Symbol"/>
        <w:color w:val="000000"/>
        <w:sz w:val="24"/>
      </w:rPr>
      <w:start w:val="1"/>
      <w:suff w:val="tab"/>
    </w:lvl>
    <w:lvl w:ilvl="2">
      <w:isLgl w:val="false"/>
      <w:lvlJc w:val="left"/>
      <w:lvlText w:val="·"/>
      <w:numFmt w:val="bullet"/>
      <w:pPr>
        <w:pBdr/>
        <w:spacing/>
        <w:ind w:hanging="360" w:left="2149"/>
      </w:pPr>
      <w:rPr>
        <w:rFonts w:hint="default" w:ascii="Symbol" w:hAnsi="Symbol" w:eastAsia="Symbol" w:cs="Symbol"/>
        <w:color w:val="000000"/>
        <w:sz w:val="24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  <w:color w:val="000000"/>
        <w:sz w:val="24"/>
      </w:rPr>
      <w:start w:val="1"/>
      <w:suff w:val="tab"/>
    </w:lvl>
    <w:lvl w:ilvl="4">
      <w:isLgl w:val="false"/>
      <w:lvlJc w:val="left"/>
      <w:lvlText w:val="·"/>
      <w:numFmt w:val="bullet"/>
      <w:pPr>
        <w:pBdr/>
        <w:spacing/>
        <w:ind w:hanging="360" w:left="3589"/>
      </w:pPr>
      <w:rPr>
        <w:rFonts w:hint="default" w:ascii="Symbol" w:hAnsi="Symbol" w:eastAsia="Symbol" w:cs="Symbol"/>
        <w:color w:val="000000"/>
        <w:sz w:val="24"/>
      </w:rPr>
      <w:start w:val="1"/>
      <w:suff w:val="tab"/>
    </w:lvl>
    <w:lvl w:ilvl="5">
      <w:isLgl w:val="false"/>
      <w:lvlJc w:val="left"/>
      <w:lvlText w:val="·"/>
      <w:numFmt w:val="bullet"/>
      <w:pPr>
        <w:pBdr/>
        <w:spacing/>
        <w:ind w:hanging="360" w:left="4309"/>
      </w:pPr>
      <w:rPr>
        <w:rFonts w:hint="default" w:ascii="Symbol" w:hAnsi="Symbol" w:eastAsia="Symbol" w:cs="Symbol"/>
        <w:color w:val="000000"/>
        <w:sz w:val="24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  <w:color w:val="000000"/>
        <w:sz w:val="24"/>
      </w:rPr>
      <w:start w:val="1"/>
      <w:suff w:val="tab"/>
    </w:lvl>
    <w:lvl w:ilvl="7">
      <w:isLgl w:val="false"/>
      <w:lvlJc w:val="left"/>
      <w:lvlText w:val="·"/>
      <w:numFmt w:val="bullet"/>
      <w:pPr>
        <w:pBdr/>
        <w:spacing/>
        <w:ind w:hanging="360" w:left="5749"/>
      </w:pPr>
      <w:rPr>
        <w:rFonts w:hint="default" w:ascii="Symbol" w:hAnsi="Symbol" w:eastAsia="Symbol" w:cs="Symbol"/>
        <w:color w:val="000000"/>
        <w:sz w:val="24"/>
      </w:rPr>
      <w:start w:val="1"/>
      <w:suff w:val="tab"/>
    </w:lvl>
    <w:lvl w:ilvl="8">
      <w:isLgl w:val="false"/>
      <w:lvlJc w:val="left"/>
      <w:lvlText w:val="·"/>
      <w:numFmt w:val="bullet"/>
      <w:pPr>
        <w:pBdr/>
        <w:spacing/>
        <w:ind w:hanging="360" w:left="6469"/>
      </w:pPr>
      <w:rPr>
        <w:rFonts w:hint="default" w:ascii="Symbol" w:hAnsi="Symbol" w:eastAsia="Symbol" w:cs="Symbol"/>
        <w:color w:val="000000"/>
        <w:sz w:val="24"/>
      </w:rPr>
      <w:start w:val="1"/>
      <w:suff w:val="tab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hyphenationZone w:val="425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pt-BR" w:eastAsia="en-US" w:bidi="ar-SA"/>
      </w:rPr>
    </w:rPrDefault>
    <w:pPrDefault>
      <w:pPr>
        <w:pBdr/>
        <w:spacing w:after="20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17">
    <w:name w:val="Placeholder Text"/>
    <w:basedOn w:val="853"/>
    <w:uiPriority w:val="99"/>
    <w:semiHidden/>
    <w:pPr>
      <w:pBdr/>
      <w:spacing/>
      <w:ind/>
    </w:pPr>
    <w:rPr>
      <w:color w:val="666666"/>
    </w:rPr>
  </w:style>
  <w:style w:type="table" w:styleId="718">
    <w:name w:val="Table Grid"/>
    <w:basedOn w:val="903"/>
    <w:uiPriority w:val="59"/>
    <w:pPr>
      <w:pBdr/>
      <w:spacing w:after="0" w:line="240" w:lineRule="auto"/>
      <w:ind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9">
    <w:name w:val="Table Grid Light"/>
    <w:basedOn w:val="903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0">
    <w:name w:val="Plain Table 1"/>
    <w:basedOn w:val="903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1">
    <w:name w:val="Plain Table 2"/>
    <w:basedOn w:val="903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2">
    <w:name w:val="Plain Table 3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3">
    <w:name w:val="Plain Table 4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4">
    <w:name w:val="Plain Table 5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5">
    <w:name w:val="Grid Table 1 Light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6">
    <w:name w:val="Grid Table 1 Light - Accent 1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7">
    <w:name w:val="Grid Table 1 Light - Accent 2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8">
    <w:name w:val="Grid Table 1 Light - Accent 3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9">
    <w:name w:val="Grid Table 1 Light - Accent 4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0">
    <w:name w:val="Grid Table 1 Light - Accent 5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1">
    <w:name w:val="Grid Table 1 Light - Accent 6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2">
    <w:name w:val="Grid Table 2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3">
    <w:name w:val="Grid Table 2 - Accent 1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4">
    <w:name w:val="Grid Table 2 - Accent 2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5">
    <w:name w:val="Grid Table 2 - Accent 3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6">
    <w:name w:val="Grid Table 2 - Accent 4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7">
    <w:name w:val="Grid Table 2 - Accent 5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8">
    <w:name w:val="Grid Table 2 - Accent 6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9">
    <w:name w:val="Grid Table 3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0">
    <w:name w:val="Grid Table 3 - Accent 1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1">
    <w:name w:val="Grid Table 3 - Accent 2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2">
    <w:name w:val="Grid Table 3 - Accent 3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3">
    <w:name w:val="Grid Table 3 - Accent 4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4">
    <w:name w:val="Grid Table 3 - Accent 5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5">
    <w:name w:val="Grid Table 3 - Accent 6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6">
    <w:name w:val="Grid Table 4"/>
    <w:basedOn w:val="90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7">
    <w:name w:val="Grid Table 4 - Accent 1"/>
    <w:basedOn w:val="90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8">
    <w:name w:val="Grid Table 4 - Accent 2"/>
    <w:basedOn w:val="90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9">
    <w:name w:val="Grid Table 4 - Accent 3"/>
    <w:basedOn w:val="90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0">
    <w:name w:val="Grid Table 4 - Accent 4"/>
    <w:basedOn w:val="90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1">
    <w:name w:val="Grid Table 4 - Accent 5"/>
    <w:basedOn w:val="90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2">
    <w:name w:val="Grid Table 4 - Accent 6"/>
    <w:basedOn w:val="90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3">
    <w:name w:val="Grid Table 5 Dark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Grid Table 5 Dark- Accent 1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Grid Table 5 Dark - Accent 2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Grid Table 5 Dark - Accent 3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Grid Table 5 Dark- Accent 4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Grid Table 5 Dark - Accent 5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Grid Table 5 Dark - Accent 6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Grid Table 6 Colorful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Grid Table 6 Colorful - Accent 1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Grid Table 6 Colorful - Accent 2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Grid Table 6 Colorful - Accent 3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Grid Table 6 Colorful - Accent 4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Grid Table 6 Colorful - Accent 5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Grid Table 6 Colorful - Accent 6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Grid Table 7 Colorful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Grid Table 7 Colorful - Accent 1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Grid Table 7 Colorful - Accent 2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Grid Table 7 Colorful - Accent 3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Grid Table 7 Colorful - Accent 4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Grid Table 7 Colorful - Accent 5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Grid Table 7 Colorful - Accent 6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List Table 1 Light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List Table 1 Light - Accent 1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List Table 1 Light - Accent 2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List Table 1 Light - Accent 3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List Table 1 Light - Accent 4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List Table 1 Light - Accent 5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List Table 1 Light - Accent 6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List Table 2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List Table 2 - Accent 1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List Table 2 - Accent 2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List Table 2 - Accent 3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List Table 2 - Accent 4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List Table 2 - Accent 5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List Table 2 - Accent 6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List Table 3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List Table 3 - Accent 1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List Table 3 - Accent 2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List Table 3 - Accent 3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List Table 3 - Accent 4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List Table 3 - Accent 5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List Table 3 - Accent 6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List Table 4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List Table 4 - Accent 1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List Table 4 - Accent 2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List Table 4 - Accent 3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List Table 4 - Accent 4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List Table 4 - Accent 5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List Table 4 - Accent 6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List Table 5 Dark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List Table 5 Dark - Accent 1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List Table 5 Dark - Accent 2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List Table 5 Dark - Accent 3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List Table 5 Dark - Accent 4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List Table 5 Dark - Accent 5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List Table 5 Dark - Accent 6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List Table 6 Colorful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List Table 6 Colorful - Accent 1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List Table 6 Colorful - Accent 2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List Table 6 Colorful - Accent 3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List Table 6 Colorful - Accent 4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List Table 6 Colorful - Accent 5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List Table 6 Colorful - Accent 6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List Table 7 Colorful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List Table 7 Colorful - Accent 1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List Table 7 Colorful - Accent 2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List Table 7 Colorful - Accent 3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List Table 7 Colorful - Accent 4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List Table 7 Colorful - Accent 5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List Table 7 Colorful - Accent 6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Lined - Accent"/>
    <w:basedOn w:val="90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Lined - Accent 1"/>
    <w:basedOn w:val="90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Lined - Accent 2"/>
    <w:basedOn w:val="90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Lined - Accent 3"/>
    <w:basedOn w:val="90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>
    <w:name w:val="Lined - Accent 4"/>
    <w:basedOn w:val="90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>
    <w:name w:val="Lined - Accent 5"/>
    <w:basedOn w:val="90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>
    <w:name w:val="Lined - Accent 6"/>
    <w:basedOn w:val="90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0">
    <w:name w:val="Bordered &amp; Lined - Accent"/>
    <w:basedOn w:val="90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>
    <w:name w:val="Bordered &amp; Lined - Accent 1"/>
    <w:basedOn w:val="90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2">
    <w:name w:val="Bordered &amp; Lined - Accent 2"/>
    <w:basedOn w:val="90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3">
    <w:name w:val="Bordered &amp; Lined - Accent 3"/>
    <w:basedOn w:val="90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4">
    <w:name w:val="Bordered &amp; Lined - Accent 4"/>
    <w:basedOn w:val="90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5">
    <w:name w:val="Bordered &amp; Lined - Accent 5"/>
    <w:basedOn w:val="90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6">
    <w:name w:val="Bordered &amp; Lined - Accent 6"/>
    <w:basedOn w:val="90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7">
    <w:name w:val="Bordered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8">
    <w:name w:val="Bordered - Accent 1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9">
    <w:name w:val="Bordered - Accent 2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0">
    <w:name w:val="Bordered - Accent 3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1">
    <w:name w:val="Bordered - Accent 4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2">
    <w:name w:val="Bordered - Accent 5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3">
    <w:name w:val="Bordered - Accent 6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44">
    <w:name w:val="Heading 1"/>
    <w:basedOn w:val="902"/>
    <w:next w:val="902"/>
    <w:link w:val="854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845">
    <w:name w:val="Heading 2"/>
    <w:basedOn w:val="902"/>
    <w:next w:val="902"/>
    <w:link w:val="855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846">
    <w:name w:val="Heading 3"/>
    <w:basedOn w:val="902"/>
    <w:next w:val="902"/>
    <w:link w:val="856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847">
    <w:name w:val="Heading 4"/>
    <w:basedOn w:val="902"/>
    <w:next w:val="902"/>
    <w:link w:val="857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848">
    <w:name w:val="Heading 5"/>
    <w:basedOn w:val="902"/>
    <w:next w:val="902"/>
    <w:link w:val="858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849">
    <w:name w:val="Heading 6"/>
    <w:basedOn w:val="902"/>
    <w:next w:val="902"/>
    <w:link w:val="859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850">
    <w:name w:val="Heading 7"/>
    <w:basedOn w:val="902"/>
    <w:next w:val="902"/>
    <w:link w:val="860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851">
    <w:name w:val="Heading 8"/>
    <w:basedOn w:val="902"/>
    <w:next w:val="902"/>
    <w:link w:val="861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852">
    <w:name w:val="Heading 9"/>
    <w:basedOn w:val="902"/>
    <w:next w:val="902"/>
    <w:link w:val="862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853" w:default="1">
    <w:name w:val="Default Paragraph Font"/>
    <w:uiPriority w:val="1"/>
    <w:semiHidden/>
    <w:unhideWhenUsed/>
    <w:pPr>
      <w:pBdr/>
      <w:spacing/>
      <w:ind/>
    </w:pPr>
  </w:style>
  <w:style w:type="character" w:styleId="854">
    <w:name w:val="Heading 1 Char"/>
    <w:basedOn w:val="853"/>
    <w:link w:val="844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855">
    <w:name w:val="Heading 2 Char"/>
    <w:basedOn w:val="853"/>
    <w:link w:val="845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856">
    <w:name w:val="Heading 3 Char"/>
    <w:basedOn w:val="853"/>
    <w:link w:val="846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857">
    <w:name w:val="Heading 4 Char"/>
    <w:basedOn w:val="853"/>
    <w:link w:val="847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858">
    <w:name w:val="Heading 5 Char"/>
    <w:basedOn w:val="853"/>
    <w:link w:val="848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859">
    <w:name w:val="Heading 6 Char"/>
    <w:basedOn w:val="853"/>
    <w:link w:val="849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860">
    <w:name w:val="Heading 7 Char"/>
    <w:basedOn w:val="853"/>
    <w:link w:val="850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861">
    <w:name w:val="Heading 8 Char"/>
    <w:basedOn w:val="853"/>
    <w:link w:val="851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62">
    <w:name w:val="Heading 9 Char"/>
    <w:basedOn w:val="853"/>
    <w:link w:val="852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863">
    <w:name w:val="Title"/>
    <w:basedOn w:val="902"/>
    <w:next w:val="902"/>
    <w:link w:val="864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864">
    <w:name w:val="Title Char"/>
    <w:basedOn w:val="853"/>
    <w:link w:val="863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865">
    <w:name w:val="Subtitle"/>
    <w:basedOn w:val="902"/>
    <w:next w:val="902"/>
    <w:link w:val="866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866">
    <w:name w:val="Subtitle Char"/>
    <w:basedOn w:val="853"/>
    <w:link w:val="865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867">
    <w:name w:val="Quote"/>
    <w:basedOn w:val="902"/>
    <w:next w:val="902"/>
    <w:link w:val="868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868">
    <w:name w:val="Quote Char"/>
    <w:basedOn w:val="853"/>
    <w:link w:val="867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869">
    <w:name w:val="Intense Emphasis"/>
    <w:basedOn w:val="853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870">
    <w:name w:val="Intense Quote"/>
    <w:basedOn w:val="902"/>
    <w:next w:val="902"/>
    <w:link w:val="871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871">
    <w:name w:val="Intense Quote Char"/>
    <w:basedOn w:val="853"/>
    <w:link w:val="870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872">
    <w:name w:val="Intense Reference"/>
    <w:basedOn w:val="853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873">
    <w:name w:val="Subtle Emphasis"/>
    <w:basedOn w:val="853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874">
    <w:name w:val="Emphasis"/>
    <w:basedOn w:val="853"/>
    <w:uiPriority w:val="20"/>
    <w:qFormat/>
    <w:pPr>
      <w:pBdr/>
      <w:spacing/>
      <w:ind/>
    </w:pPr>
    <w:rPr>
      <w:i/>
      <w:iCs/>
    </w:rPr>
  </w:style>
  <w:style w:type="character" w:styleId="875">
    <w:name w:val="Strong"/>
    <w:basedOn w:val="853"/>
    <w:uiPriority w:val="22"/>
    <w:qFormat/>
    <w:pPr>
      <w:pBdr/>
      <w:spacing/>
      <w:ind/>
    </w:pPr>
    <w:rPr>
      <w:b/>
      <w:bCs/>
    </w:rPr>
  </w:style>
  <w:style w:type="character" w:styleId="876">
    <w:name w:val="Subtle Reference"/>
    <w:basedOn w:val="853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877">
    <w:name w:val="Book Title"/>
    <w:basedOn w:val="853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878">
    <w:name w:val="Header"/>
    <w:basedOn w:val="902"/>
    <w:link w:val="879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79">
    <w:name w:val="Header Char"/>
    <w:basedOn w:val="853"/>
    <w:link w:val="878"/>
    <w:uiPriority w:val="99"/>
    <w:pPr>
      <w:pBdr/>
      <w:spacing/>
      <w:ind/>
    </w:pPr>
  </w:style>
  <w:style w:type="paragraph" w:styleId="880">
    <w:name w:val="Footer"/>
    <w:basedOn w:val="902"/>
    <w:link w:val="881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81">
    <w:name w:val="Footer Char"/>
    <w:basedOn w:val="853"/>
    <w:link w:val="880"/>
    <w:uiPriority w:val="99"/>
    <w:pPr>
      <w:pBdr/>
      <w:spacing/>
      <w:ind/>
    </w:pPr>
  </w:style>
  <w:style w:type="paragraph" w:styleId="882">
    <w:name w:val="Caption"/>
    <w:basedOn w:val="902"/>
    <w:next w:val="902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883">
    <w:name w:val="footnote text"/>
    <w:basedOn w:val="902"/>
    <w:link w:val="884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84">
    <w:name w:val="Footnote Text Char"/>
    <w:basedOn w:val="853"/>
    <w:link w:val="883"/>
    <w:uiPriority w:val="99"/>
    <w:semiHidden/>
    <w:pPr>
      <w:pBdr/>
      <w:spacing/>
      <w:ind/>
    </w:pPr>
    <w:rPr>
      <w:sz w:val="20"/>
      <w:szCs w:val="20"/>
    </w:rPr>
  </w:style>
  <w:style w:type="character" w:styleId="885">
    <w:name w:val="footnote reference"/>
    <w:basedOn w:val="853"/>
    <w:uiPriority w:val="99"/>
    <w:semiHidden/>
    <w:unhideWhenUsed/>
    <w:pPr>
      <w:pBdr/>
      <w:spacing/>
      <w:ind/>
    </w:pPr>
    <w:rPr>
      <w:vertAlign w:val="superscript"/>
    </w:rPr>
  </w:style>
  <w:style w:type="paragraph" w:styleId="886">
    <w:name w:val="endnote text"/>
    <w:basedOn w:val="902"/>
    <w:link w:val="887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87">
    <w:name w:val="Endnote Text Char"/>
    <w:basedOn w:val="853"/>
    <w:link w:val="886"/>
    <w:uiPriority w:val="99"/>
    <w:semiHidden/>
    <w:pPr>
      <w:pBdr/>
      <w:spacing/>
      <w:ind/>
    </w:pPr>
    <w:rPr>
      <w:sz w:val="20"/>
      <w:szCs w:val="20"/>
    </w:rPr>
  </w:style>
  <w:style w:type="character" w:styleId="888">
    <w:name w:val="endnote reference"/>
    <w:basedOn w:val="853"/>
    <w:uiPriority w:val="99"/>
    <w:semiHidden/>
    <w:unhideWhenUsed/>
    <w:pPr>
      <w:pBdr/>
      <w:spacing/>
      <w:ind/>
    </w:pPr>
    <w:rPr>
      <w:vertAlign w:val="superscript"/>
    </w:rPr>
  </w:style>
  <w:style w:type="character" w:styleId="889">
    <w:name w:val="Hyperlink"/>
    <w:basedOn w:val="853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890">
    <w:name w:val="FollowedHyperlink"/>
    <w:basedOn w:val="853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891">
    <w:name w:val="toc 1"/>
    <w:basedOn w:val="902"/>
    <w:next w:val="902"/>
    <w:uiPriority w:val="39"/>
    <w:unhideWhenUsed/>
    <w:pPr>
      <w:pBdr/>
      <w:spacing w:after="100"/>
      <w:ind/>
    </w:pPr>
  </w:style>
  <w:style w:type="paragraph" w:styleId="892">
    <w:name w:val="toc 2"/>
    <w:basedOn w:val="902"/>
    <w:next w:val="902"/>
    <w:uiPriority w:val="39"/>
    <w:unhideWhenUsed/>
    <w:pPr>
      <w:pBdr/>
      <w:spacing w:after="100"/>
      <w:ind w:left="220"/>
    </w:pPr>
  </w:style>
  <w:style w:type="paragraph" w:styleId="893">
    <w:name w:val="toc 3"/>
    <w:basedOn w:val="902"/>
    <w:next w:val="902"/>
    <w:uiPriority w:val="39"/>
    <w:unhideWhenUsed/>
    <w:pPr>
      <w:pBdr/>
      <w:spacing w:after="100"/>
      <w:ind w:left="440"/>
    </w:pPr>
  </w:style>
  <w:style w:type="paragraph" w:styleId="894">
    <w:name w:val="toc 4"/>
    <w:basedOn w:val="902"/>
    <w:next w:val="902"/>
    <w:uiPriority w:val="39"/>
    <w:unhideWhenUsed/>
    <w:pPr>
      <w:pBdr/>
      <w:spacing w:after="100"/>
      <w:ind w:left="660"/>
    </w:pPr>
  </w:style>
  <w:style w:type="paragraph" w:styleId="895">
    <w:name w:val="toc 5"/>
    <w:basedOn w:val="902"/>
    <w:next w:val="902"/>
    <w:uiPriority w:val="39"/>
    <w:unhideWhenUsed/>
    <w:pPr>
      <w:pBdr/>
      <w:spacing w:after="100"/>
      <w:ind w:left="880"/>
    </w:pPr>
  </w:style>
  <w:style w:type="paragraph" w:styleId="896">
    <w:name w:val="toc 6"/>
    <w:basedOn w:val="902"/>
    <w:next w:val="902"/>
    <w:uiPriority w:val="39"/>
    <w:unhideWhenUsed/>
    <w:pPr>
      <w:pBdr/>
      <w:spacing w:after="100"/>
      <w:ind w:left="1100"/>
    </w:pPr>
  </w:style>
  <w:style w:type="paragraph" w:styleId="897">
    <w:name w:val="toc 7"/>
    <w:basedOn w:val="902"/>
    <w:next w:val="902"/>
    <w:uiPriority w:val="39"/>
    <w:unhideWhenUsed/>
    <w:pPr>
      <w:pBdr/>
      <w:spacing w:after="100"/>
      <w:ind w:left="1320"/>
    </w:pPr>
  </w:style>
  <w:style w:type="paragraph" w:styleId="898">
    <w:name w:val="toc 8"/>
    <w:basedOn w:val="902"/>
    <w:next w:val="902"/>
    <w:uiPriority w:val="39"/>
    <w:unhideWhenUsed/>
    <w:pPr>
      <w:pBdr/>
      <w:spacing w:after="100"/>
      <w:ind w:left="1540"/>
    </w:pPr>
  </w:style>
  <w:style w:type="paragraph" w:styleId="899">
    <w:name w:val="toc 9"/>
    <w:basedOn w:val="902"/>
    <w:next w:val="902"/>
    <w:uiPriority w:val="39"/>
    <w:unhideWhenUsed/>
    <w:pPr>
      <w:pBdr/>
      <w:spacing w:after="100"/>
      <w:ind w:left="1760"/>
    </w:pPr>
  </w:style>
  <w:style w:type="paragraph" w:styleId="900">
    <w:name w:val="TOC Heading"/>
    <w:uiPriority w:val="39"/>
    <w:unhideWhenUsed/>
    <w:pPr>
      <w:pBdr/>
      <w:spacing/>
      <w:ind/>
    </w:pPr>
  </w:style>
  <w:style w:type="paragraph" w:styleId="901">
    <w:name w:val="table of figures"/>
    <w:basedOn w:val="902"/>
    <w:next w:val="902"/>
    <w:uiPriority w:val="99"/>
    <w:unhideWhenUsed/>
    <w:pPr>
      <w:pBdr/>
      <w:spacing w:after="0" w:afterAutospacing="0"/>
      <w:ind/>
    </w:pPr>
  </w:style>
  <w:style w:type="paragraph" w:styleId="902" w:default="1">
    <w:name w:val="Normal"/>
    <w:qFormat/>
    <w:pPr>
      <w:pBdr/>
      <w:spacing/>
      <w:ind/>
    </w:pPr>
  </w:style>
  <w:style w:type="table" w:styleId="903" w:default="1">
    <w:name w:val="Normal Table"/>
    <w:uiPriority w:val="99"/>
    <w:semiHidden/>
    <w:unhideWhenUsed/>
    <w:pPr>
      <w:pBdr/>
      <w:spacing/>
      <w:ind/>
    </w:pPr>
    <w:tblPr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904" w:default="1">
    <w:name w:val="No List"/>
    <w:uiPriority w:val="99"/>
    <w:semiHidden/>
    <w:unhideWhenUsed/>
    <w:pPr>
      <w:pBdr/>
      <w:spacing/>
      <w:ind/>
    </w:pPr>
  </w:style>
  <w:style w:type="paragraph" w:styleId="905">
    <w:name w:val="No Spacing"/>
    <w:basedOn w:val="902"/>
    <w:uiPriority w:val="1"/>
    <w:qFormat/>
    <w:pPr>
      <w:pBdr/>
      <w:spacing w:after="0" w:line="240" w:lineRule="auto"/>
      <w:ind/>
    </w:pPr>
  </w:style>
  <w:style w:type="paragraph" w:styleId="906">
    <w:name w:val="List Paragraph"/>
    <w:basedOn w:val="902"/>
    <w:uiPriority w:val="34"/>
    <w:qFormat/>
    <w:pPr>
      <w:pBdr/>
      <w:spacing/>
      <w:ind w:left="720"/>
      <w:contextualSpacing w:val="true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ONLYOFFICE/8.2.2.22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revision>4</cp:revision>
  <dcterms:modified xsi:type="dcterms:W3CDTF">2026-10-29T14:57:03Z</dcterms:modified>
</cp:coreProperties>
</file>